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0" w:firstLineChars="0"/>
        <w:jc w:val="center"/>
        <w:textAlignment w:val="auto"/>
        <w:rPr>
          <w:rFonts w:ascii="黑体" w:hAnsi="黑体" w:eastAsia="黑体" w:cs="宋体"/>
          <w:kern w:val="0"/>
          <w:sz w:val="44"/>
          <w:szCs w:val="44"/>
        </w:rPr>
      </w:pPr>
      <w:r>
        <w:rPr>
          <w:rFonts w:ascii="黑体" w:hAnsi="黑体" w:eastAsia="黑体" w:cs="宋体"/>
          <w:kern w:val="0"/>
          <w:sz w:val="44"/>
          <w:szCs w:val="44"/>
        </w:rPr>
        <w:t>洛阳市涧西区人民检察院工作报告</w:t>
      </w:r>
    </w:p>
    <w:p>
      <w:pPr>
        <w:keepNext w:val="0"/>
        <w:keepLines w:val="0"/>
        <w:pageBreakBefore w:val="0"/>
        <w:widowControl/>
        <w:shd w:val="clear" w:color="auto" w:fill="auto"/>
        <w:kinsoku/>
        <w:wordWrap/>
        <w:overflowPunct/>
        <w:topLinePunct w:val="0"/>
        <w:autoSpaceDE/>
        <w:autoSpaceDN/>
        <w:bidi w:val="0"/>
        <w:adjustRightInd/>
        <w:snapToGrid/>
        <w:spacing w:line="620" w:lineRule="exact"/>
        <w:ind w:left="319" w:leftChars="152" w:firstLine="0" w:firstLineChars="0"/>
        <w:jc w:val="center"/>
        <w:textAlignment w:val="auto"/>
        <w:rPr>
          <w:rFonts w:ascii="楷体" w:hAnsi="楷体" w:eastAsia="楷体"/>
          <w:kern w:val="0"/>
          <w:sz w:val="32"/>
          <w:szCs w:val="32"/>
        </w:rPr>
      </w:pPr>
    </w:p>
    <w:p>
      <w:pPr>
        <w:keepNext w:val="0"/>
        <w:keepLines w:val="0"/>
        <w:pageBreakBefore w:val="0"/>
        <w:widowControl/>
        <w:shd w:val="clear" w:color="auto" w:fill="auto"/>
        <w:kinsoku/>
        <w:wordWrap/>
        <w:overflowPunct/>
        <w:topLinePunct w:val="0"/>
        <w:autoSpaceDE/>
        <w:autoSpaceDN/>
        <w:bidi w:val="0"/>
        <w:adjustRightInd/>
        <w:snapToGrid/>
        <w:spacing w:line="620" w:lineRule="exact"/>
        <w:ind w:left="319" w:leftChars="152" w:firstLine="0" w:firstLineChars="0"/>
        <w:jc w:val="center"/>
        <w:textAlignment w:val="auto"/>
        <w:rPr>
          <w:rFonts w:ascii="楷体" w:hAnsi="楷体" w:eastAsia="楷体" w:cs="宋体"/>
          <w:kern w:val="0"/>
          <w:sz w:val="32"/>
          <w:szCs w:val="32"/>
        </w:rPr>
      </w:pPr>
      <w:r>
        <w:rPr>
          <w:rFonts w:ascii="楷体" w:hAnsi="楷体" w:eastAsia="楷体"/>
          <w:kern w:val="0"/>
          <w:sz w:val="32"/>
          <w:szCs w:val="32"/>
        </w:rPr>
        <w:t>——202</w:t>
      </w:r>
      <w:r>
        <w:rPr>
          <w:rFonts w:hint="eastAsia" w:ascii="楷体" w:hAnsi="楷体" w:eastAsia="楷体"/>
          <w:kern w:val="0"/>
          <w:sz w:val="32"/>
          <w:szCs w:val="32"/>
          <w:lang w:val="en-US" w:eastAsia="zh-CN"/>
        </w:rPr>
        <w:t>3</w:t>
      </w:r>
      <w:r>
        <w:rPr>
          <w:rFonts w:ascii="楷体" w:hAnsi="楷体" w:eastAsia="楷体" w:cs="宋体"/>
          <w:kern w:val="0"/>
          <w:sz w:val="32"/>
          <w:szCs w:val="32"/>
        </w:rPr>
        <w:t>年</w:t>
      </w:r>
      <w:r>
        <w:rPr>
          <w:rFonts w:ascii="楷体" w:hAnsi="楷体" w:eastAsia="楷体"/>
          <w:kern w:val="0"/>
          <w:sz w:val="32"/>
          <w:szCs w:val="32"/>
        </w:rPr>
        <w:t>2</w:t>
      </w:r>
      <w:r>
        <w:rPr>
          <w:rFonts w:ascii="楷体" w:hAnsi="楷体" w:eastAsia="楷体" w:cs="宋体"/>
          <w:kern w:val="0"/>
          <w:sz w:val="32"/>
          <w:szCs w:val="32"/>
        </w:rPr>
        <w:t>月</w:t>
      </w:r>
      <w:r>
        <w:rPr>
          <w:rFonts w:hint="eastAsia" w:ascii="楷体" w:hAnsi="楷体" w:eastAsia="楷体" w:cs="宋体"/>
          <w:kern w:val="0"/>
          <w:sz w:val="32"/>
          <w:szCs w:val="32"/>
          <w:lang w:val="en-US" w:eastAsia="zh-CN"/>
        </w:rPr>
        <w:t>21</w:t>
      </w:r>
      <w:r>
        <w:rPr>
          <w:rFonts w:ascii="楷体" w:hAnsi="楷体" w:eastAsia="楷体" w:cs="宋体"/>
          <w:kern w:val="0"/>
          <w:sz w:val="32"/>
          <w:szCs w:val="32"/>
        </w:rPr>
        <w:t>日在</w:t>
      </w:r>
      <w:r>
        <w:rPr>
          <w:rFonts w:hint="eastAsia" w:ascii="楷体" w:hAnsi="楷体" w:eastAsia="楷体" w:cs="宋体"/>
          <w:kern w:val="0"/>
          <w:sz w:val="32"/>
          <w:szCs w:val="32"/>
          <w:lang w:eastAsia="zh-CN"/>
        </w:rPr>
        <w:t>洛阳市</w:t>
      </w:r>
      <w:r>
        <w:rPr>
          <w:rFonts w:ascii="楷体" w:hAnsi="楷体" w:eastAsia="楷体" w:cs="宋体"/>
          <w:kern w:val="0"/>
          <w:sz w:val="32"/>
          <w:szCs w:val="32"/>
        </w:rPr>
        <w:t>涧西区第十</w:t>
      </w:r>
      <w:r>
        <w:rPr>
          <w:rFonts w:hint="eastAsia" w:ascii="楷体" w:hAnsi="楷体" w:eastAsia="楷体" w:cs="宋体"/>
          <w:kern w:val="0"/>
          <w:sz w:val="32"/>
          <w:szCs w:val="32"/>
          <w:lang w:eastAsia="zh-CN"/>
        </w:rPr>
        <w:t>六</w:t>
      </w:r>
      <w:r>
        <w:rPr>
          <w:rFonts w:ascii="楷体" w:hAnsi="楷体" w:eastAsia="楷体" w:cs="宋体"/>
          <w:kern w:val="0"/>
          <w:sz w:val="32"/>
          <w:szCs w:val="32"/>
        </w:rPr>
        <w:t>届人民代表</w:t>
      </w:r>
    </w:p>
    <w:p>
      <w:pPr>
        <w:keepNext w:val="0"/>
        <w:keepLines w:val="0"/>
        <w:pageBreakBefore w:val="0"/>
        <w:widowControl/>
        <w:shd w:val="clear" w:color="auto" w:fill="auto"/>
        <w:kinsoku/>
        <w:wordWrap/>
        <w:overflowPunct/>
        <w:topLinePunct w:val="0"/>
        <w:autoSpaceDE/>
        <w:autoSpaceDN/>
        <w:bidi w:val="0"/>
        <w:adjustRightInd/>
        <w:snapToGrid/>
        <w:spacing w:line="620" w:lineRule="exact"/>
        <w:ind w:left="319" w:leftChars="152" w:firstLine="0" w:firstLineChars="0"/>
        <w:jc w:val="center"/>
        <w:textAlignment w:val="auto"/>
        <w:rPr>
          <w:rFonts w:hint="eastAsia" w:ascii="楷体" w:hAnsi="楷体" w:eastAsia="楷体" w:cs="宋体"/>
          <w:kern w:val="0"/>
          <w:sz w:val="32"/>
          <w:szCs w:val="32"/>
        </w:rPr>
      </w:pPr>
      <w:r>
        <w:rPr>
          <w:rFonts w:ascii="楷体" w:hAnsi="楷体" w:eastAsia="楷体" w:cs="宋体"/>
          <w:kern w:val="0"/>
          <w:sz w:val="32"/>
          <w:szCs w:val="32"/>
        </w:rPr>
        <w:t>大会第</w:t>
      </w:r>
      <w:r>
        <w:rPr>
          <w:rFonts w:hint="eastAsia" w:ascii="楷体" w:hAnsi="楷体" w:eastAsia="楷体" w:cs="宋体"/>
          <w:kern w:val="0"/>
          <w:sz w:val="32"/>
          <w:szCs w:val="32"/>
          <w:lang w:eastAsia="zh-CN"/>
        </w:rPr>
        <w:t>三</w:t>
      </w:r>
      <w:r>
        <w:rPr>
          <w:rFonts w:ascii="楷体" w:hAnsi="楷体" w:eastAsia="楷体" w:cs="宋体"/>
          <w:kern w:val="0"/>
          <w:sz w:val="32"/>
          <w:szCs w:val="32"/>
        </w:rPr>
        <w:t>次会议上</w:t>
      </w:r>
    </w:p>
    <w:p>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0" w:firstLineChars="0"/>
        <w:jc w:val="center"/>
        <w:textAlignment w:val="auto"/>
        <w:rPr>
          <w:rFonts w:hint="eastAsia" w:ascii="楷体" w:hAnsi="楷体" w:eastAsia="楷体" w:cs="宋体"/>
          <w:kern w:val="0"/>
          <w:sz w:val="32"/>
          <w:szCs w:val="32"/>
          <w:lang w:eastAsia="zh-CN"/>
        </w:rPr>
      </w:pPr>
      <w:r>
        <w:rPr>
          <w:rFonts w:ascii="楷体" w:hAnsi="楷体" w:eastAsia="楷体" w:cs="宋体"/>
          <w:kern w:val="0"/>
          <w:sz w:val="32"/>
          <w:szCs w:val="32"/>
        </w:rPr>
        <w:t>涧西区人民检察院检察长</w:t>
      </w:r>
      <w:r>
        <w:rPr>
          <w:rFonts w:hint="eastAsia" w:ascii="楷体" w:hAnsi="楷体" w:eastAsia="楷体" w:cs="宋体"/>
          <w:kern w:val="0"/>
          <w:sz w:val="32"/>
          <w:szCs w:val="32"/>
        </w:rPr>
        <w:t xml:space="preserve">    </w:t>
      </w:r>
      <w:r>
        <w:rPr>
          <w:rFonts w:hint="eastAsia" w:ascii="楷体" w:hAnsi="楷体" w:eastAsia="楷体" w:cs="宋体"/>
          <w:kern w:val="0"/>
          <w:sz w:val="32"/>
          <w:szCs w:val="32"/>
          <w:lang w:eastAsia="zh-CN"/>
        </w:rPr>
        <w:t>石笑飞</w:t>
      </w:r>
    </w:p>
    <w:p>
      <w:pPr>
        <w:pStyle w:val="8"/>
        <w:keepNext w:val="0"/>
        <w:keepLines w:val="0"/>
        <w:pageBreakBefore w:val="0"/>
        <w:kinsoku/>
        <w:wordWrap/>
        <w:overflowPunct/>
        <w:topLinePunct w:val="0"/>
        <w:bidi w:val="0"/>
        <w:snapToGrid/>
        <w:spacing w:after="0" w:afterLines="0" w:line="620" w:lineRule="exact"/>
        <w:textAlignment w:val="auto"/>
        <w:rPr>
          <w:rFonts w:hint="eastAsia"/>
          <w:lang w:eastAsia="zh-CN"/>
        </w:rPr>
      </w:pPr>
    </w:p>
    <w:p>
      <w:pPr>
        <w:keepNext w:val="0"/>
        <w:keepLines w:val="0"/>
        <w:pageBreakBefore w:val="0"/>
        <w:widowControl/>
        <w:shd w:val="clear" w:color="auto" w:fill="auto"/>
        <w:kinsoku/>
        <w:wordWrap/>
        <w:overflowPunct/>
        <w:topLinePunct w:val="0"/>
        <w:bidi w:val="0"/>
        <w:snapToGrid/>
        <w:spacing w:line="620" w:lineRule="exact"/>
        <w:jc w:val="left"/>
        <w:textAlignment w:val="auto"/>
        <w:rPr>
          <w:rFonts w:hint="eastAsia" w:ascii="仿宋" w:hAnsi="仿宋" w:eastAsia="仿宋" w:cs="宋体"/>
          <w:spacing w:val="0"/>
          <w:kern w:val="0"/>
          <w:sz w:val="32"/>
          <w:szCs w:val="32"/>
        </w:rPr>
      </w:pPr>
      <w:r>
        <w:rPr>
          <w:rFonts w:ascii="仿宋" w:hAnsi="仿宋" w:eastAsia="仿宋" w:cs="宋体"/>
          <w:spacing w:val="0"/>
          <w:kern w:val="0"/>
          <w:sz w:val="32"/>
          <w:szCs w:val="32"/>
        </w:rPr>
        <w:t>各位代表：</w:t>
      </w:r>
    </w:p>
    <w:p>
      <w:pPr>
        <w:keepNext w:val="0"/>
        <w:keepLines w:val="0"/>
        <w:pageBreakBefore w:val="0"/>
        <w:widowControl/>
        <w:shd w:val="clear" w:color="auto" w:fill="auto"/>
        <w:kinsoku/>
        <w:wordWrap/>
        <w:overflowPunct/>
        <w:topLinePunct w:val="0"/>
        <w:bidi w:val="0"/>
        <w:snapToGrid/>
        <w:spacing w:line="620" w:lineRule="exact"/>
        <w:ind w:firstLine="640" w:firstLineChars="200"/>
        <w:jc w:val="left"/>
        <w:textAlignment w:val="auto"/>
        <w:rPr>
          <w:rFonts w:hint="eastAsia" w:ascii="黑体" w:hAnsi="黑体" w:eastAsia="黑体" w:cs="黑体"/>
          <w:b w:val="0"/>
          <w:bCs w:val="0"/>
          <w:spacing w:val="0"/>
          <w:kern w:val="0"/>
          <w:sz w:val="36"/>
          <w:szCs w:val="36"/>
        </w:rPr>
      </w:pPr>
      <w:r>
        <w:rPr>
          <w:rFonts w:ascii="仿宋" w:hAnsi="仿宋" w:eastAsia="仿宋" w:cs="宋体"/>
          <w:spacing w:val="0"/>
          <w:kern w:val="0"/>
          <w:sz w:val="32"/>
          <w:szCs w:val="32"/>
        </w:rPr>
        <w:t>现在，我代表区人民检察院向大会报告工作，请予审议，并请各位政协委员</w:t>
      </w:r>
      <w:r>
        <w:rPr>
          <w:rFonts w:hint="eastAsia" w:ascii="仿宋" w:hAnsi="仿宋" w:eastAsia="仿宋" w:cs="宋体"/>
          <w:spacing w:val="0"/>
          <w:kern w:val="0"/>
          <w:sz w:val="32"/>
          <w:szCs w:val="32"/>
          <w:lang w:eastAsia="zh-CN"/>
        </w:rPr>
        <w:t>和列席人士</w:t>
      </w:r>
      <w:r>
        <w:rPr>
          <w:rFonts w:ascii="仿宋" w:hAnsi="仿宋" w:eastAsia="仿宋" w:cs="宋体"/>
          <w:spacing w:val="0"/>
          <w:kern w:val="0"/>
          <w:sz w:val="32"/>
          <w:szCs w:val="32"/>
        </w:rPr>
        <w:t>提出意见。</w:t>
      </w:r>
    </w:p>
    <w:p>
      <w:pPr>
        <w:keepNext w:val="0"/>
        <w:keepLines w:val="0"/>
        <w:pageBreakBefore w:val="0"/>
        <w:widowControl/>
        <w:shd w:val="clear" w:color="auto" w:fill="auto"/>
        <w:kinsoku/>
        <w:wordWrap/>
        <w:overflowPunct/>
        <w:topLinePunct w:val="0"/>
        <w:bidi w:val="0"/>
        <w:snapToGrid/>
        <w:spacing w:line="620" w:lineRule="exact"/>
        <w:ind w:firstLine="2520" w:firstLineChars="700"/>
        <w:jc w:val="left"/>
        <w:textAlignment w:val="auto"/>
        <w:rPr>
          <w:rFonts w:hint="eastAsia" w:ascii="黑体" w:hAnsi="黑体" w:eastAsia="黑体" w:cs="黑体"/>
          <w:b w:val="0"/>
          <w:bCs w:val="0"/>
          <w:spacing w:val="0"/>
          <w:kern w:val="0"/>
          <w:sz w:val="36"/>
          <w:szCs w:val="36"/>
        </w:rPr>
      </w:pPr>
      <w:r>
        <w:rPr>
          <w:rFonts w:hint="eastAsia" w:ascii="黑体" w:hAnsi="黑体" w:eastAsia="黑体" w:cs="黑体"/>
          <w:b w:val="0"/>
          <w:bCs w:val="0"/>
          <w:spacing w:val="0"/>
          <w:kern w:val="0"/>
          <w:sz w:val="36"/>
          <w:szCs w:val="36"/>
        </w:rPr>
        <w:t>202</w:t>
      </w:r>
      <w:r>
        <w:rPr>
          <w:rFonts w:hint="eastAsia" w:ascii="黑体" w:hAnsi="黑体" w:eastAsia="黑体" w:cs="黑体"/>
          <w:b w:val="0"/>
          <w:bCs w:val="0"/>
          <w:spacing w:val="0"/>
          <w:kern w:val="0"/>
          <w:sz w:val="36"/>
          <w:szCs w:val="36"/>
          <w:lang w:val="en-US" w:eastAsia="zh-CN"/>
        </w:rPr>
        <w:t>2</w:t>
      </w:r>
      <w:r>
        <w:rPr>
          <w:rFonts w:hint="eastAsia" w:ascii="黑体" w:hAnsi="黑体" w:eastAsia="黑体" w:cs="黑体"/>
          <w:b w:val="0"/>
          <w:bCs w:val="0"/>
          <w:spacing w:val="0"/>
          <w:kern w:val="0"/>
          <w:sz w:val="36"/>
          <w:szCs w:val="36"/>
        </w:rPr>
        <w:t>年工作回顾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Courier New"/>
          <w:spacing w:val="0"/>
          <w:kern w:val="0"/>
          <w:sz w:val="32"/>
          <w:szCs w:val="32"/>
        </w:rPr>
      </w:pPr>
      <w:r>
        <w:rPr>
          <w:rFonts w:ascii="仿宋" w:hAnsi="仿宋" w:eastAsia="仿宋"/>
          <w:spacing w:val="0"/>
          <w:kern w:val="0"/>
          <w:sz w:val="32"/>
          <w:szCs w:val="32"/>
        </w:rPr>
        <w:t>202</w:t>
      </w:r>
      <w:r>
        <w:rPr>
          <w:rFonts w:hint="eastAsia" w:ascii="仿宋" w:hAnsi="仿宋" w:eastAsia="仿宋"/>
          <w:spacing w:val="0"/>
          <w:kern w:val="0"/>
          <w:sz w:val="32"/>
          <w:szCs w:val="32"/>
          <w:lang w:val="en-US" w:eastAsia="zh-CN"/>
        </w:rPr>
        <w:t>2</w:t>
      </w:r>
      <w:r>
        <w:rPr>
          <w:rFonts w:ascii="仿宋" w:hAnsi="仿宋" w:eastAsia="仿宋" w:cs="宋体"/>
          <w:spacing w:val="0"/>
          <w:kern w:val="0"/>
          <w:sz w:val="32"/>
          <w:szCs w:val="32"/>
        </w:rPr>
        <w:t>年，区检察院在区委和市检察院的</w:t>
      </w:r>
      <w:r>
        <w:rPr>
          <w:rFonts w:hint="eastAsia" w:ascii="仿宋" w:hAnsi="仿宋" w:eastAsia="仿宋" w:cs="宋体"/>
          <w:spacing w:val="0"/>
          <w:kern w:val="0"/>
          <w:sz w:val="32"/>
          <w:szCs w:val="32"/>
          <w:lang w:eastAsia="zh-CN"/>
        </w:rPr>
        <w:t>坚强</w:t>
      </w:r>
      <w:r>
        <w:rPr>
          <w:rFonts w:ascii="仿宋" w:hAnsi="仿宋" w:eastAsia="仿宋" w:cs="宋体"/>
          <w:spacing w:val="0"/>
          <w:kern w:val="0"/>
          <w:sz w:val="32"/>
          <w:szCs w:val="32"/>
        </w:rPr>
        <w:t>领导</w:t>
      </w:r>
      <w:r>
        <w:rPr>
          <w:rFonts w:hint="eastAsia" w:ascii="仿宋" w:hAnsi="仿宋" w:eastAsia="仿宋" w:cs="宋体"/>
          <w:spacing w:val="0"/>
          <w:kern w:val="0"/>
          <w:sz w:val="32"/>
          <w:szCs w:val="32"/>
          <w:lang w:val="en-US" w:eastAsia="zh-CN"/>
        </w:rPr>
        <w:t>，</w:t>
      </w:r>
      <w:r>
        <w:rPr>
          <w:rFonts w:ascii="仿宋" w:hAnsi="仿宋" w:eastAsia="仿宋" w:cs="Courier New"/>
          <w:spacing w:val="0"/>
          <w:kern w:val="0"/>
          <w:sz w:val="32"/>
          <w:szCs w:val="32"/>
        </w:rPr>
        <w:t>区人大</w:t>
      </w:r>
      <w:r>
        <w:rPr>
          <w:rFonts w:hint="eastAsia" w:ascii="仿宋" w:hAnsi="仿宋" w:eastAsia="仿宋" w:cs="Courier New"/>
          <w:spacing w:val="0"/>
          <w:kern w:val="0"/>
          <w:sz w:val="32"/>
          <w:szCs w:val="32"/>
          <w:lang w:eastAsia="zh-CN"/>
        </w:rPr>
        <w:t>的有力监督，区政府、区政协和社会各界</w:t>
      </w:r>
      <w:r>
        <w:rPr>
          <w:rFonts w:hint="eastAsia" w:ascii="仿宋" w:hAnsi="仿宋" w:eastAsia="仿宋" w:cs="宋体"/>
          <w:spacing w:val="0"/>
          <w:kern w:val="0"/>
          <w:sz w:val="32"/>
          <w:szCs w:val="32"/>
          <w:lang w:eastAsia="zh-CN"/>
        </w:rPr>
        <w:t>的关心支持下，</w:t>
      </w:r>
      <w:r>
        <w:rPr>
          <w:rFonts w:ascii="仿宋" w:hAnsi="仿宋" w:eastAsia="仿宋" w:cs="宋体"/>
          <w:spacing w:val="0"/>
          <w:kern w:val="0"/>
          <w:sz w:val="32"/>
          <w:szCs w:val="32"/>
        </w:rPr>
        <w:t>以习近平新时代中国特色社会主义思想为指导，</w:t>
      </w:r>
      <w:r>
        <w:rPr>
          <w:rFonts w:hint="eastAsia" w:ascii="仿宋" w:hAnsi="仿宋" w:eastAsia="仿宋" w:cs="宋体"/>
          <w:spacing w:val="0"/>
          <w:kern w:val="0"/>
          <w:sz w:val="32"/>
          <w:szCs w:val="32"/>
          <w:lang w:eastAsia="zh-CN"/>
        </w:rPr>
        <w:t>认真</w:t>
      </w:r>
      <w:r>
        <w:rPr>
          <w:rFonts w:ascii="仿宋" w:hAnsi="仿宋" w:eastAsia="仿宋" w:cs="宋体"/>
          <w:spacing w:val="0"/>
          <w:kern w:val="0"/>
          <w:sz w:val="32"/>
          <w:szCs w:val="32"/>
        </w:rPr>
        <w:t>学习</w:t>
      </w:r>
      <w:r>
        <w:rPr>
          <w:rFonts w:hint="eastAsia" w:ascii="仿宋" w:hAnsi="仿宋" w:eastAsia="仿宋" w:cs="宋体"/>
          <w:spacing w:val="0"/>
          <w:kern w:val="0"/>
          <w:sz w:val="32"/>
          <w:szCs w:val="32"/>
          <w:lang w:eastAsia="zh-CN"/>
        </w:rPr>
        <w:t>宣传</w:t>
      </w:r>
      <w:r>
        <w:rPr>
          <w:rFonts w:ascii="仿宋" w:hAnsi="仿宋" w:eastAsia="仿宋" w:cs="宋体"/>
          <w:spacing w:val="0"/>
          <w:kern w:val="0"/>
          <w:sz w:val="32"/>
          <w:szCs w:val="32"/>
        </w:rPr>
        <w:t>贯彻党的</w:t>
      </w:r>
      <w:r>
        <w:rPr>
          <w:rFonts w:hint="eastAsia" w:ascii="仿宋" w:hAnsi="仿宋" w:eastAsia="仿宋" w:cs="宋体"/>
          <w:spacing w:val="0"/>
          <w:kern w:val="0"/>
          <w:sz w:val="32"/>
          <w:szCs w:val="32"/>
          <w:lang w:eastAsia="zh-CN"/>
        </w:rPr>
        <w:t>二十</w:t>
      </w:r>
      <w:r>
        <w:rPr>
          <w:rFonts w:ascii="仿宋" w:hAnsi="仿宋" w:eastAsia="仿宋" w:cs="宋体"/>
          <w:spacing w:val="0"/>
          <w:kern w:val="0"/>
          <w:sz w:val="32"/>
          <w:szCs w:val="32"/>
        </w:rPr>
        <w:t>大精神，</w:t>
      </w:r>
      <w:r>
        <w:rPr>
          <w:rFonts w:hint="eastAsia" w:ascii="仿宋" w:hAnsi="仿宋" w:eastAsia="仿宋" w:cs="宋体"/>
          <w:spacing w:val="0"/>
          <w:kern w:val="0"/>
          <w:sz w:val="32"/>
          <w:szCs w:val="32"/>
          <w:lang w:eastAsia="zh-CN"/>
        </w:rPr>
        <w:t>全面落实</w:t>
      </w:r>
      <w:r>
        <w:rPr>
          <w:rFonts w:ascii="仿宋" w:hAnsi="仿宋" w:eastAsia="仿宋" w:cs="Times New Roman"/>
          <w:color w:val="000000"/>
          <w:spacing w:val="0"/>
          <w:sz w:val="32"/>
          <w:szCs w:val="32"/>
        </w:rPr>
        <w:t>《中共中央关于加强新时代检察机关法律监督工作的意见》</w:t>
      </w:r>
      <w:r>
        <w:rPr>
          <w:rFonts w:hint="eastAsia" w:ascii="仿宋" w:hAnsi="仿宋" w:eastAsia="仿宋" w:cs="Times New Roman"/>
          <w:color w:val="000000"/>
          <w:spacing w:val="0"/>
          <w:sz w:val="32"/>
          <w:szCs w:val="32"/>
        </w:rPr>
        <w:t>，</w:t>
      </w:r>
      <w:r>
        <w:rPr>
          <w:rFonts w:hint="eastAsia" w:ascii="仿宋" w:hAnsi="仿宋" w:eastAsia="仿宋" w:cs="Times New Roman"/>
          <w:color w:val="000000"/>
          <w:spacing w:val="0"/>
          <w:sz w:val="32"/>
          <w:szCs w:val="32"/>
          <w:lang w:eastAsia="zh-CN"/>
        </w:rPr>
        <w:t>紧紧围绕</w:t>
      </w:r>
      <w:r>
        <w:rPr>
          <w:rFonts w:hint="eastAsia" w:ascii="仿宋" w:hAnsi="仿宋" w:eastAsia="仿宋" w:cs="宋体"/>
          <w:spacing w:val="0"/>
          <w:kern w:val="0"/>
          <w:sz w:val="32"/>
          <w:szCs w:val="32"/>
          <w:lang w:eastAsia="zh-CN"/>
        </w:rPr>
        <w:t>“争先进、创一流”的工作目标，</w:t>
      </w:r>
      <w:r>
        <w:rPr>
          <w:rFonts w:ascii="仿宋" w:hAnsi="仿宋" w:eastAsia="仿宋" w:cs="宋体"/>
          <w:spacing w:val="0"/>
          <w:kern w:val="0"/>
          <w:sz w:val="32"/>
          <w:szCs w:val="32"/>
        </w:rPr>
        <w:t>在为大局服务</w:t>
      </w:r>
      <w:r>
        <w:rPr>
          <w:rFonts w:hint="eastAsia" w:ascii="仿宋" w:hAnsi="仿宋" w:eastAsia="仿宋" w:cs="宋体"/>
          <w:spacing w:val="0"/>
          <w:kern w:val="0"/>
          <w:sz w:val="32"/>
          <w:szCs w:val="32"/>
          <w:lang w:eastAsia="zh-CN"/>
        </w:rPr>
        <w:t>、</w:t>
      </w:r>
      <w:r>
        <w:rPr>
          <w:rFonts w:ascii="仿宋" w:hAnsi="仿宋" w:eastAsia="仿宋" w:cs="宋体"/>
          <w:spacing w:val="0"/>
          <w:kern w:val="0"/>
          <w:sz w:val="32"/>
          <w:szCs w:val="32"/>
        </w:rPr>
        <w:t>为人民司法中</w:t>
      </w:r>
      <w:r>
        <w:rPr>
          <w:rFonts w:hint="eastAsia" w:ascii="仿宋" w:hAnsi="仿宋" w:eastAsia="仿宋" w:cs="宋体"/>
          <w:spacing w:val="0"/>
          <w:kern w:val="0"/>
          <w:sz w:val="32"/>
          <w:szCs w:val="32"/>
          <w:lang w:eastAsia="zh-CN"/>
        </w:rPr>
        <w:t>踔厉奋发</w:t>
      </w:r>
      <w:r>
        <w:rPr>
          <w:rFonts w:ascii="仿宋" w:hAnsi="仿宋" w:eastAsia="仿宋" w:cs="宋体"/>
          <w:spacing w:val="0"/>
          <w:kern w:val="0"/>
          <w:sz w:val="32"/>
          <w:szCs w:val="32"/>
        </w:rPr>
        <w:t>，在</w:t>
      </w:r>
      <w:r>
        <w:rPr>
          <w:rFonts w:hint="eastAsia" w:ascii="仿宋" w:hAnsi="仿宋" w:eastAsia="仿宋" w:cs="宋体"/>
          <w:spacing w:val="0"/>
          <w:kern w:val="0"/>
          <w:sz w:val="32"/>
          <w:szCs w:val="32"/>
          <w:lang w:eastAsia="zh-CN"/>
        </w:rPr>
        <w:t>转变司法理念</w:t>
      </w:r>
      <w:r>
        <w:rPr>
          <w:rFonts w:ascii="仿宋" w:hAnsi="仿宋" w:eastAsia="仿宋" w:cs="宋体"/>
          <w:spacing w:val="0"/>
          <w:kern w:val="0"/>
          <w:sz w:val="32"/>
          <w:szCs w:val="32"/>
        </w:rPr>
        <w:t>、</w:t>
      </w:r>
      <w:r>
        <w:rPr>
          <w:rFonts w:hint="eastAsia" w:ascii="仿宋" w:hAnsi="仿宋" w:eastAsia="仿宋" w:cs="宋体"/>
          <w:spacing w:val="0"/>
          <w:kern w:val="0"/>
          <w:sz w:val="32"/>
          <w:szCs w:val="32"/>
          <w:lang w:eastAsia="zh-CN"/>
        </w:rPr>
        <w:t>提升工作质效</w:t>
      </w:r>
      <w:r>
        <w:rPr>
          <w:rFonts w:ascii="仿宋" w:hAnsi="仿宋" w:eastAsia="仿宋" w:cs="宋体"/>
          <w:spacing w:val="0"/>
          <w:kern w:val="0"/>
          <w:sz w:val="32"/>
          <w:szCs w:val="32"/>
        </w:rPr>
        <w:t>中</w:t>
      </w:r>
      <w:r>
        <w:rPr>
          <w:rFonts w:hint="eastAsia" w:ascii="仿宋" w:hAnsi="仿宋" w:eastAsia="仿宋" w:cs="宋体"/>
          <w:spacing w:val="0"/>
          <w:kern w:val="0"/>
          <w:sz w:val="32"/>
          <w:szCs w:val="32"/>
          <w:lang w:eastAsia="zh-CN"/>
        </w:rPr>
        <w:t>勇毅前行</w:t>
      </w:r>
      <w:r>
        <w:rPr>
          <w:rFonts w:ascii="仿宋" w:hAnsi="仿宋" w:eastAsia="仿宋" w:cs="宋体"/>
          <w:spacing w:val="0"/>
          <w:kern w:val="0"/>
          <w:sz w:val="32"/>
          <w:szCs w:val="32"/>
        </w:rPr>
        <w:t>，</w:t>
      </w:r>
      <w:r>
        <w:rPr>
          <w:rFonts w:hint="eastAsia" w:ascii="仿宋" w:hAnsi="仿宋" w:eastAsia="仿宋" w:cs="宋体"/>
          <w:spacing w:val="0"/>
          <w:kern w:val="0"/>
          <w:sz w:val="32"/>
          <w:szCs w:val="32"/>
          <w:lang w:eastAsia="zh-CN"/>
        </w:rPr>
        <w:t>各项</w:t>
      </w:r>
      <w:r>
        <w:rPr>
          <w:rFonts w:hint="eastAsia" w:ascii="仿宋" w:hAnsi="仿宋" w:eastAsia="仿宋" w:cs="宋体"/>
          <w:spacing w:val="0"/>
          <w:kern w:val="0"/>
          <w:sz w:val="32"/>
          <w:szCs w:val="32"/>
          <w:lang w:val="en-US" w:eastAsia="zh-CN"/>
        </w:rPr>
        <w:t>检察工作</w:t>
      </w:r>
      <w:r>
        <w:rPr>
          <w:rFonts w:ascii="仿宋" w:hAnsi="仿宋" w:eastAsia="仿宋" w:cs="宋体"/>
          <w:spacing w:val="0"/>
          <w:kern w:val="0"/>
          <w:sz w:val="32"/>
          <w:szCs w:val="32"/>
        </w:rPr>
        <w:t>在</w:t>
      </w:r>
      <w:r>
        <w:rPr>
          <w:rFonts w:hint="eastAsia" w:ascii="仿宋" w:hAnsi="仿宋" w:eastAsia="仿宋" w:cs="宋体"/>
          <w:spacing w:val="0"/>
          <w:kern w:val="0"/>
          <w:sz w:val="32"/>
          <w:szCs w:val="32"/>
          <w:lang w:eastAsia="zh-CN"/>
        </w:rPr>
        <w:t>依法能动履职</w:t>
      </w:r>
      <w:r>
        <w:rPr>
          <w:rFonts w:ascii="仿宋" w:hAnsi="仿宋" w:eastAsia="仿宋" w:cs="宋体"/>
          <w:spacing w:val="0"/>
          <w:kern w:val="0"/>
          <w:sz w:val="32"/>
          <w:szCs w:val="32"/>
        </w:rPr>
        <w:t>中</w:t>
      </w:r>
      <w:r>
        <w:rPr>
          <w:rFonts w:hint="eastAsia" w:ascii="仿宋" w:hAnsi="仿宋" w:eastAsia="仿宋" w:cs="宋体"/>
          <w:spacing w:val="0"/>
          <w:kern w:val="0"/>
          <w:sz w:val="32"/>
          <w:szCs w:val="32"/>
          <w:lang w:eastAsia="zh-CN"/>
        </w:rPr>
        <w:t>实现高质量</w:t>
      </w:r>
      <w:r>
        <w:rPr>
          <w:rFonts w:ascii="仿宋" w:hAnsi="仿宋" w:eastAsia="仿宋" w:cs="宋体"/>
          <w:spacing w:val="0"/>
          <w:kern w:val="0"/>
          <w:sz w:val="32"/>
          <w:szCs w:val="32"/>
        </w:rPr>
        <w:t>发展</w:t>
      </w:r>
      <w:r>
        <w:rPr>
          <w:rFonts w:ascii="仿宋" w:hAnsi="仿宋" w:eastAsia="仿宋" w:cs="Courier New"/>
          <w:spacing w:val="0"/>
          <w:kern w:val="0"/>
          <w:sz w:val="32"/>
          <w:szCs w:val="32"/>
        </w:rPr>
        <w:t>。</w:t>
      </w:r>
    </w:p>
    <w:p>
      <w:pPr>
        <w:keepNext w:val="0"/>
        <w:keepLines w:val="0"/>
        <w:pageBreakBefore w:val="0"/>
        <w:numPr>
          <w:ilvl w:val="0"/>
          <w:numId w:val="1"/>
        </w:numPr>
        <w:shd w:val="clear" w:color="auto" w:fill="auto"/>
        <w:kinsoku/>
        <w:wordWrap/>
        <w:overflowPunct/>
        <w:topLinePunct w:val="0"/>
        <w:bidi w:val="0"/>
        <w:snapToGrid/>
        <w:spacing w:line="620" w:lineRule="exact"/>
        <w:ind w:left="-10" w:leftChars="0" w:firstLine="640" w:firstLineChars="0"/>
        <w:textAlignment w:val="auto"/>
        <w:rPr>
          <w:rFonts w:hint="eastAsia" w:ascii="黑体" w:hAnsi="黑体" w:eastAsia="黑体" w:cs="黑体"/>
          <w:spacing w:val="0"/>
          <w:kern w:val="0"/>
          <w:sz w:val="32"/>
          <w:szCs w:val="32"/>
        </w:rPr>
      </w:pPr>
      <w:r>
        <w:rPr>
          <w:rFonts w:hint="eastAsia" w:ascii="黑体" w:hAnsi="黑体" w:eastAsia="黑体" w:cs="黑体"/>
          <w:spacing w:val="0"/>
          <w:kern w:val="0"/>
          <w:sz w:val="32"/>
          <w:szCs w:val="32"/>
        </w:rPr>
        <w:t>聚焦政治建设，</w:t>
      </w:r>
      <w:r>
        <w:rPr>
          <w:rFonts w:hint="eastAsia" w:ascii="黑体" w:hAnsi="黑体" w:eastAsia="黑体" w:cs="黑体"/>
          <w:spacing w:val="0"/>
          <w:kern w:val="0"/>
          <w:sz w:val="32"/>
          <w:szCs w:val="32"/>
          <w:lang w:eastAsia="zh-CN"/>
        </w:rPr>
        <w:t>在检察履职中坚持</w:t>
      </w:r>
      <w:r>
        <w:rPr>
          <w:rFonts w:hint="eastAsia" w:ascii="黑体" w:hAnsi="黑体" w:eastAsia="黑体" w:cs="黑体"/>
          <w:spacing w:val="0"/>
          <w:kern w:val="0"/>
          <w:sz w:val="32"/>
          <w:szCs w:val="32"/>
        </w:rPr>
        <w:t>党</w:t>
      </w:r>
      <w:r>
        <w:rPr>
          <w:rFonts w:hint="eastAsia" w:ascii="黑体" w:hAnsi="黑体" w:eastAsia="黑体" w:cs="黑体"/>
          <w:spacing w:val="0"/>
          <w:kern w:val="0"/>
          <w:sz w:val="32"/>
          <w:szCs w:val="32"/>
          <w:lang w:eastAsia="zh-CN"/>
        </w:rPr>
        <w:t>的</w:t>
      </w:r>
      <w:r>
        <w:rPr>
          <w:rFonts w:hint="eastAsia" w:ascii="黑体" w:hAnsi="黑体" w:eastAsia="黑体" w:cs="黑体"/>
          <w:spacing w:val="0"/>
          <w:kern w:val="0"/>
          <w:sz w:val="32"/>
          <w:szCs w:val="32"/>
        </w:rPr>
        <w:t>领导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始终坚持把讲政治作为第一要求，把讲忠诚作为第一标准，通过专题报告、辅导讲座等形式学思践悟党的二十大精神，引导全体干警深刻领悟“两个确立”的决定性意义，切实做到“两个维护”。贯彻落实《中国共产党政法工作条例》，把坚持党的绝对领导贯穿检察履职全过程、各方面，</w:t>
      </w:r>
      <w:r>
        <w:rPr>
          <w:rFonts w:ascii="Times New Roman" w:hAnsi="Times New Roman" w:eastAsia="仿宋_GB2312" w:cs="Times New Roman"/>
          <w:b w:val="0"/>
          <w:bCs w:val="0"/>
          <w:color w:val="000000"/>
          <w:kern w:val="2"/>
          <w:sz w:val="32"/>
          <w:szCs w:val="32"/>
          <w:lang w:val="en-US" w:eastAsia="zh-CN" w:bidi="ar-SA"/>
        </w:rPr>
        <w:t>主动向区委报告重大工作部署、重大改革举措、重大案件办理等情况，</w:t>
      </w:r>
      <w:r>
        <w:rPr>
          <w:rFonts w:hint="eastAsia" w:ascii="Times New Roman" w:hAnsi="Times New Roman" w:eastAsia="仿宋_GB2312" w:cs="Times New Roman"/>
          <w:b w:val="0"/>
          <w:bCs w:val="0"/>
          <w:color w:val="000000"/>
          <w:kern w:val="2"/>
          <w:sz w:val="32"/>
          <w:szCs w:val="32"/>
          <w:lang w:val="en-US" w:eastAsia="zh-CN" w:bidi="ar-SA"/>
        </w:rPr>
        <w:t>定期向区委汇报工作。严格执行</w:t>
      </w:r>
      <w:r>
        <w:rPr>
          <w:rFonts w:ascii="Times New Roman" w:hAnsi="Times New Roman" w:eastAsia="仿宋_GB2312" w:cs="Times New Roman"/>
          <w:b w:val="0"/>
          <w:bCs w:val="0"/>
          <w:color w:val="000000"/>
          <w:kern w:val="2"/>
          <w:sz w:val="32"/>
          <w:szCs w:val="32"/>
          <w:lang w:val="en-US" w:eastAsia="zh-CN" w:bidi="ar-SA"/>
        </w:rPr>
        <w:t>《中国共产党党组工作条例》</w:t>
      </w:r>
      <w:r>
        <w:rPr>
          <w:rFonts w:hint="eastAsia" w:ascii="Times New Roman" w:hAnsi="Times New Roman" w:eastAsia="仿宋_GB2312" w:cs="Times New Roman"/>
          <w:b w:val="0"/>
          <w:bCs w:val="0"/>
          <w:color w:val="000000"/>
          <w:kern w:val="2"/>
          <w:sz w:val="32"/>
          <w:szCs w:val="32"/>
          <w:lang w:val="en-US" w:eastAsia="zh-CN" w:bidi="ar-SA"/>
        </w:rPr>
        <w:t>，切实发挥好党组定方向、管大局、抓落实的关键作用，确保党委和上级院决策部署精准落地、见到实效。始终牢记检察机关是党领导下的法律监督机关，坚持“一切从政治上看”，严肃政治纪律和政治规矩，不断提升政治判断力、政治领悟力、政治执行力。扛稳抓牢意识形态责任</w:t>
      </w:r>
      <w:r>
        <w:rPr>
          <w:rFonts w:ascii="Times New Roman" w:hAnsi="Times New Roman" w:eastAsia="仿宋_GB2312" w:cs="Times New Roman"/>
          <w:b w:val="0"/>
          <w:bCs w:val="0"/>
          <w:color w:val="000000"/>
          <w:kern w:val="2"/>
          <w:sz w:val="32"/>
          <w:szCs w:val="32"/>
          <w:lang w:val="en-US" w:eastAsia="zh-CN" w:bidi="ar-SA"/>
        </w:rPr>
        <w:t>，4次研究意识形态领域工作，出台《意识形态工作联席会议制度》《网络意识形态工作责任制实施细则》等制度机制，</w:t>
      </w:r>
      <w:r>
        <w:rPr>
          <w:rFonts w:hint="eastAsia" w:ascii="Times New Roman" w:hAnsi="Times New Roman" w:eastAsia="仿宋_GB2312" w:cs="Times New Roman"/>
          <w:b w:val="0"/>
          <w:bCs w:val="0"/>
          <w:color w:val="000000"/>
          <w:kern w:val="2"/>
          <w:sz w:val="32"/>
          <w:szCs w:val="32"/>
          <w:lang w:val="en-US" w:eastAsia="zh-CN" w:bidi="ar-SA"/>
        </w:rPr>
        <w:t>确保意识形态领域平稳可控</w:t>
      </w:r>
      <w:r>
        <w:rPr>
          <w:rFonts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numPr>
          <w:ilvl w:val="0"/>
          <w:numId w:val="1"/>
        </w:numPr>
        <w:shd w:val="clear" w:color="auto" w:fill="auto"/>
        <w:kinsoku/>
        <w:wordWrap/>
        <w:overflowPunct/>
        <w:topLinePunct w:val="0"/>
        <w:bidi w:val="0"/>
        <w:snapToGrid/>
        <w:spacing w:line="620" w:lineRule="exact"/>
        <w:ind w:left="-10" w:leftChars="0" w:firstLine="640" w:firstLineChars="0"/>
        <w:textAlignment w:val="auto"/>
        <w:rPr>
          <w:rFonts w:hint="eastAsia" w:ascii="黑体" w:hAnsi="黑体" w:eastAsia="黑体" w:cs="黑体"/>
          <w:spacing w:val="0"/>
          <w:kern w:val="0"/>
          <w:sz w:val="32"/>
          <w:szCs w:val="32"/>
          <w:lang w:eastAsia="zh-CN"/>
        </w:rPr>
      </w:pPr>
      <w:r>
        <w:rPr>
          <w:rFonts w:hint="eastAsia" w:ascii="黑体" w:hAnsi="黑体" w:eastAsia="黑体" w:cs="黑体"/>
          <w:spacing w:val="0"/>
          <w:kern w:val="0"/>
          <w:sz w:val="32"/>
          <w:szCs w:val="32"/>
        </w:rPr>
        <w:t>聚焦</w:t>
      </w:r>
      <w:r>
        <w:rPr>
          <w:rFonts w:hint="eastAsia" w:ascii="黑体" w:hAnsi="黑体" w:eastAsia="黑体" w:cs="黑体"/>
          <w:spacing w:val="0"/>
          <w:kern w:val="0"/>
          <w:sz w:val="32"/>
          <w:szCs w:val="32"/>
          <w:lang w:eastAsia="zh-CN"/>
        </w:rPr>
        <w:t>服务大局</w:t>
      </w:r>
      <w:r>
        <w:rPr>
          <w:rFonts w:hint="eastAsia" w:ascii="黑体" w:hAnsi="黑体" w:eastAsia="黑体" w:cs="黑体"/>
          <w:spacing w:val="0"/>
          <w:kern w:val="0"/>
          <w:sz w:val="32"/>
          <w:szCs w:val="32"/>
        </w:rPr>
        <w:t>，</w:t>
      </w:r>
      <w:r>
        <w:rPr>
          <w:rFonts w:hint="eastAsia" w:ascii="黑体" w:hAnsi="黑体" w:eastAsia="黑体" w:cs="黑体"/>
          <w:spacing w:val="0"/>
          <w:kern w:val="0"/>
          <w:sz w:val="32"/>
          <w:szCs w:val="32"/>
          <w:lang w:eastAsia="zh-CN"/>
        </w:rPr>
        <w:t>在检察履职中展现责任担当</w:t>
      </w:r>
    </w:p>
    <w:p>
      <w:pPr>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一是全力优化营商环境。</w:t>
      </w:r>
      <w:r>
        <w:rPr>
          <w:rFonts w:hint="eastAsia" w:ascii="Times New Roman" w:hAnsi="Times New Roman" w:eastAsia="仿宋_GB2312" w:cs="Times New Roman"/>
          <w:b w:val="0"/>
          <w:bCs w:val="0"/>
          <w:color w:val="000000"/>
          <w:kern w:val="2"/>
          <w:sz w:val="32"/>
          <w:szCs w:val="32"/>
          <w:lang w:val="en-US" w:eastAsia="zh-CN" w:bidi="ar-SA"/>
        </w:rPr>
        <w:t>扎实开展“万人助万企”活动，出台11项措施，深入企业开展法治宣讲、送法进企业31次，为企业提供精准的司法服务和法律保障。稳妥推进涉案企业合规改革，与区财政、司法、生态环境等七部门建立涉案企业合规改革第三方监管机制，结合认罪认罚从宽、公开听证、第三方监管评估制度，把企业合规改革落到实处。落实涉案企业“少捕慎诉慎押”刑事司法政策，不批捕4人，不起诉17人，不断优化法治化营商环境。</w:t>
      </w:r>
    </w:p>
    <w:p>
      <w:pPr>
        <w:keepNext w:val="0"/>
        <w:keepLines w:val="0"/>
        <w:pageBreakBefore w:val="0"/>
        <w:shd w:val="clear" w:color="auto" w:fill="auto"/>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二是积极防范金融风险。</w:t>
      </w:r>
      <w:r>
        <w:rPr>
          <w:rFonts w:hint="eastAsia" w:ascii="Times New Roman" w:hAnsi="Times New Roman" w:eastAsia="仿宋_GB2312" w:cs="Times New Roman"/>
          <w:b w:val="0"/>
          <w:bCs w:val="0"/>
          <w:color w:val="000000"/>
          <w:kern w:val="2"/>
          <w:sz w:val="32"/>
          <w:szCs w:val="32"/>
          <w:lang w:val="en-US" w:eastAsia="zh-CN" w:bidi="ar-SA"/>
        </w:rPr>
        <w:t>办理破坏社会主义市场经济秩序犯罪65人。参与互联网金融风险专项整治，依法办理集资诈骗、非法吸收公众存款等涉众型经济犯罪83人。参与“断卡”行动，打击治理电信网络新型违法犯罪，起诉143人，为人民群众挽回财产损失757万余元。积极参与市域社会治理，针对办案中发现的问题，撰写服务社会治理决策分析报告6篇，为党委、政府开展社会治理提供决策参考。</w:t>
      </w:r>
    </w:p>
    <w:p>
      <w:pPr>
        <w:spacing w:line="600" w:lineRule="exact"/>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三是持续落实反腐责任。</w:t>
      </w:r>
      <w:r>
        <w:rPr>
          <w:rFonts w:hint="eastAsia" w:ascii="Times New Roman" w:hAnsi="Times New Roman" w:eastAsia="仿宋_GB2312" w:cs="Times New Roman"/>
          <w:b w:val="0"/>
          <w:bCs w:val="0"/>
          <w:color w:val="000000"/>
          <w:kern w:val="2"/>
          <w:sz w:val="32"/>
          <w:szCs w:val="32"/>
          <w:lang w:val="en-US" w:eastAsia="zh-CN" w:bidi="ar-SA"/>
        </w:rPr>
        <w:t>始终保持反腐高压态势，发挥检察职能，侦办司法工作人员相关职务犯罪案件2件2人，受理监察委移送职务犯罪案4件4人，决定逮捕、提起公诉4件4人，移送党员、公职人员违法违纪线索3件，继续落实检察机关反腐政治责任、法律责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四是自觉服务重点工作。</w:t>
      </w:r>
      <w:r>
        <w:rPr>
          <w:rFonts w:hint="eastAsia" w:ascii="Times New Roman" w:hAnsi="Times New Roman" w:eastAsia="仿宋_GB2312" w:cs="Times New Roman"/>
          <w:b w:val="0"/>
          <w:bCs w:val="0"/>
          <w:color w:val="000000"/>
          <w:kern w:val="2"/>
          <w:sz w:val="32"/>
          <w:szCs w:val="32"/>
          <w:lang w:val="en-US" w:eastAsia="zh-CN" w:bidi="ar-SA"/>
        </w:rPr>
        <w:t>坚决落实区委决策部署，服务文明示范城市创建、三清两建、疫情防控等，组织干警下沉社区，当好志愿者，协助社区做好工作。运用公益诉讼职能，完善耕地保护等监管机制，通过办案督促复垦耕地8.25亩。督促有关行政执法部门，对辖区内销售医用防护物资是否存在无证经营、假冒伪劣、哄抬物价等违法行为进行检查，保护人民群众生命安全和身体健康，以司法手段帮助党委、政府解决公益难题。</w:t>
      </w:r>
    </w:p>
    <w:p>
      <w:pPr>
        <w:keepNext w:val="0"/>
        <w:keepLines w:val="0"/>
        <w:pageBreakBefore w:val="0"/>
        <w:shd w:val="clear" w:color="auto" w:fill="auto"/>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五是扎实开展“四官”进社区。</w:t>
      </w:r>
      <w:r>
        <w:rPr>
          <w:rFonts w:hint="eastAsia" w:ascii="Times New Roman" w:hAnsi="Times New Roman" w:eastAsia="仿宋_GB2312" w:cs="Times New Roman"/>
          <w:b w:val="0"/>
          <w:bCs w:val="0"/>
          <w:color w:val="000000"/>
          <w:kern w:val="2"/>
          <w:sz w:val="32"/>
          <w:szCs w:val="32"/>
          <w:lang w:val="en-US" w:eastAsia="zh-CN" w:bidi="ar-SA"/>
        </w:rPr>
        <w:t>组织开展法治宣传、法治咨询、矛盾调解等工作，干警深入社区1344人次，走访群众、开展法治宣传1467人次，法治咨询412次，为群众办实事126件，化解矛盾纠纷36件。在“四官”进社区中，我们了解到青岛路一社区吴某兄弟二人为智力残疾，无人照料，迅速开展支持起诉工作，帮助落实监护责任，切实为群众办实事、办好事。</w:t>
      </w:r>
    </w:p>
    <w:p>
      <w:pPr>
        <w:keepNext w:val="0"/>
        <w:keepLines w:val="0"/>
        <w:pageBreakBefore w:val="0"/>
        <w:shd w:val="clear" w:color="auto" w:fill="auto"/>
        <w:kinsoku/>
        <w:wordWrap/>
        <w:overflowPunct/>
        <w:topLinePunct w:val="0"/>
        <w:bidi w:val="0"/>
        <w:snapToGrid/>
        <w:spacing w:line="620" w:lineRule="exact"/>
        <w:ind w:firstLine="480" w:firstLineChars="150"/>
        <w:textAlignment w:val="auto"/>
        <w:rPr>
          <w:rFonts w:hint="eastAsia" w:ascii="黑体" w:hAnsi="黑体" w:eastAsia="黑体" w:cs="黑体"/>
          <w:spacing w:val="0"/>
          <w:kern w:val="0"/>
          <w:sz w:val="32"/>
          <w:szCs w:val="32"/>
          <w:lang w:eastAsia="zh-CN"/>
        </w:rPr>
      </w:pPr>
      <w:r>
        <w:rPr>
          <w:rFonts w:hint="eastAsia" w:ascii="黑体" w:hAnsi="黑体" w:eastAsia="黑体" w:cs="黑体"/>
          <w:spacing w:val="0"/>
          <w:kern w:val="0"/>
          <w:sz w:val="32"/>
          <w:szCs w:val="32"/>
        </w:rPr>
        <w:t>三、聚焦</w:t>
      </w:r>
      <w:r>
        <w:rPr>
          <w:rFonts w:hint="eastAsia" w:ascii="黑体" w:hAnsi="黑体" w:eastAsia="黑体" w:cs="黑体"/>
          <w:spacing w:val="0"/>
          <w:kern w:val="0"/>
          <w:sz w:val="32"/>
          <w:szCs w:val="32"/>
          <w:lang w:eastAsia="zh-CN"/>
        </w:rPr>
        <w:t>主责主业</w:t>
      </w:r>
      <w:r>
        <w:rPr>
          <w:rFonts w:hint="eastAsia" w:ascii="黑体" w:hAnsi="黑体" w:eastAsia="黑体" w:cs="黑体"/>
          <w:spacing w:val="0"/>
          <w:kern w:val="0"/>
          <w:sz w:val="32"/>
          <w:szCs w:val="32"/>
        </w:rPr>
        <w:t>，</w:t>
      </w:r>
      <w:r>
        <w:rPr>
          <w:rFonts w:hint="eastAsia" w:ascii="黑体" w:hAnsi="黑体" w:eastAsia="黑体" w:cs="黑体"/>
          <w:spacing w:val="0"/>
          <w:kern w:val="0"/>
          <w:sz w:val="32"/>
          <w:szCs w:val="32"/>
          <w:lang w:eastAsia="zh-CN"/>
        </w:rPr>
        <w:t>在检察履职中深化法律监督</w:t>
      </w:r>
    </w:p>
    <w:p>
      <w:pPr>
        <w:pStyle w:val="2"/>
        <w:spacing w:after="0" w:line="600" w:lineRule="exact"/>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ascii="Times New Roman" w:hAnsi="Times New Roman" w:eastAsia="仿宋_GB2312" w:cs="Times New Roman"/>
          <w:b/>
          <w:color w:val="000000"/>
          <w:sz w:val="32"/>
          <w:szCs w:val="32"/>
        </w:rPr>
        <w:t>一是</w:t>
      </w:r>
      <w:r>
        <w:rPr>
          <w:rFonts w:ascii="Times New Roman" w:hAnsi="Times New Roman" w:eastAsia="仿宋_GB2312" w:cs="Times New Roman"/>
          <w:b/>
          <w:bCs/>
          <w:color w:val="000000"/>
          <w:sz w:val="32"/>
          <w:szCs w:val="32"/>
        </w:rPr>
        <w:t>刑事检察精益求精更优质。</w:t>
      </w:r>
      <w:r>
        <w:rPr>
          <w:rFonts w:hint="eastAsia" w:ascii="Times New Roman" w:hAnsi="Times New Roman" w:eastAsia="仿宋_GB2312" w:cs="Times New Roman"/>
          <w:b w:val="0"/>
          <w:bCs w:val="0"/>
          <w:color w:val="000000"/>
          <w:kern w:val="2"/>
          <w:sz w:val="32"/>
          <w:szCs w:val="32"/>
          <w:lang w:val="en-US" w:eastAsia="zh-CN" w:bidi="ar-SA"/>
        </w:rPr>
        <w:t>认真履行职责，严厉打击各类刑事犯罪，常态化开展扫黑除恶斗争，从严惩治利用邪教组织破坏法律实施、故意杀人、非法拘禁、抢劫等严重危害人民生命财产犯罪，切实维护国家安全、社会安定、人民安宁。全年共受理各类刑事案件1275件1694人，批准逮捕202件321人，提起公诉671件857人。贯彻“少捕慎诉慎押”刑事司法政策，依法该严则严，当宽则宽，不起诉率由2021年的4.97%升至26.81%。主动开展羁押必要性审查，建议变更或解除强制措施5人，减少社会对抗，促进社会和谐。强化刑事诉讼监督，监督立案13件，监督撤案13件，纠正漏捕8人，漏诉29人，纠正侦查活动违法70件，纠正审判活动违法17件，抗诉6件，检察长列席审判委员会6次。深入开展社区矫正巡回检察和财产刑执行专项监督，办理各类监督案件90件，维护了刑罚执行的严肃性。</w:t>
      </w:r>
    </w:p>
    <w:p>
      <w:pPr>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kern w:val="2"/>
          <w:sz w:val="32"/>
          <w:szCs w:val="32"/>
          <w:lang w:val="en-US" w:eastAsia="zh-CN" w:bidi="ar-SA"/>
        </w:rPr>
        <w:t>二是民事检察齐头并进更全面。</w:t>
      </w:r>
      <w:r>
        <w:rPr>
          <w:rFonts w:hint="eastAsia" w:ascii="Times New Roman" w:hAnsi="Times New Roman" w:eastAsia="仿宋_GB2312" w:cs="Times New Roman"/>
          <w:b w:val="0"/>
          <w:bCs w:val="0"/>
          <w:color w:val="000000"/>
          <w:kern w:val="2"/>
          <w:sz w:val="32"/>
          <w:szCs w:val="32"/>
          <w:lang w:val="en-US" w:eastAsia="zh-CN" w:bidi="ar-SA"/>
        </w:rPr>
        <w:t>受理民事诉讼监督案件39件，提出再审检察建议5件，区法院全部采纳。办理市检察院交办案件41件，提请抗诉3件。办理民事支持起诉案件5件，有效维护弱势群体合法权益。从严惩治虚假诉讼，紧盯民间借贷、工程建设等虚假诉讼多发频发领域，通过制发再审检察建议监督纠正3件。共同破解执行难，对不当终结本次执行案件提出检察建议16件，采纳率达100%。</w:t>
      </w:r>
    </w:p>
    <w:p>
      <w:pPr>
        <w:spacing w:line="600" w:lineRule="exact"/>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ascii="Times New Roman" w:hAnsi="Times New Roman" w:eastAsia="仿宋_GB2312" w:cs="Times New Roman"/>
          <w:b/>
          <w:color w:val="000000"/>
          <w:kern w:val="2"/>
          <w:sz w:val="32"/>
          <w:szCs w:val="32"/>
          <w:lang w:val="en-US" w:eastAsia="zh-CN" w:bidi="ar-SA"/>
        </w:rPr>
        <w:t>三是行政检察稳步拓展更扎实。</w:t>
      </w:r>
      <w:r>
        <w:rPr>
          <w:rFonts w:hint="eastAsia" w:ascii="Times New Roman" w:hAnsi="Times New Roman" w:eastAsia="仿宋_GB2312" w:cs="Times New Roman"/>
          <w:b w:val="0"/>
          <w:bCs w:val="0"/>
          <w:color w:val="000000"/>
          <w:kern w:val="2"/>
          <w:sz w:val="32"/>
          <w:szCs w:val="32"/>
          <w:lang w:val="en-US" w:eastAsia="zh-CN" w:bidi="ar-SA"/>
        </w:rPr>
        <w:t>提出行政审判、执行检察建议4件。开展行政非诉执行专项监督，提出检察建议9件，均被采纳。充分发挥能动检察思维，办理行政争议实质性化解案件3件。对行政机关怠于履职，不行使职权，依法制发检察建议，助力相关部门依法履职、规范执法。</w:t>
      </w:r>
    </w:p>
    <w:p>
      <w:pPr>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ascii="Times New Roman" w:hAnsi="Times New Roman" w:eastAsia="仿宋_GB2312" w:cs="Times New Roman"/>
          <w:b/>
          <w:color w:val="000000"/>
          <w:kern w:val="2"/>
          <w:sz w:val="32"/>
          <w:szCs w:val="32"/>
          <w:lang w:val="en-US" w:eastAsia="zh-CN" w:bidi="ar-SA"/>
        </w:rPr>
        <w:t>四是公益诉讼推深做实更主动。</w:t>
      </w:r>
      <w:r>
        <w:rPr>
          <w:rFonts w:hint="eastAsia" w:ascii="Times New Roman" w:hAnsi="Times New Roman" w:eastAsia="仿宋_GB2312" w:cs="Times New Roman"/>
          <w:b w:val="0"/>
          <w:bCs w:val="0"/>
          <w:color w:val="000000"/>
          <w:kern w:val="2"/>
          <w:sz w:val="32"/>
          <w:szCs w:val="32"/>
          <w:lang w:val="en-US" w:eastAsia="zh-CN" w:bidi="ar-SA"/>
        </w:rPr>
        <w:t>办理涉生态环境和资源保护、食品药品安全等领域公益诉讼案件84件，发出诉前检察建议42件，均被行政机关采纳。开展国防教育、耕地保护、国有财产保护等专项监督9项，提起刑事附带民事公益诉讼6件，上缴公益损害赔偿金148523元。完善校外培训机构规范运营、河道行洪等方面的监管机制，通过融入式、协作式检察履职，以“我管”促“都管”，以检察履职助力公益保护。</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黑体" w:hAnsi="黑体" w:eastAsia="黑体" w:cs="黑体"/>
          <w:spacing w:val="0"/>
          <w:kern w:val="0"/>
          <w:sz w:val="32"/>
          <w:szCs w:val="32"/>
        </w:rPr>
      </w:pPr>
      <w:r>
        <w:rPr>
          <w:rFonts w:hint="eastAsia" w:ascii="黑体" w:hAnsi="黑体" w:eastAsia="黑体" w:cs="黑体"/>
          <w:spacing w:val="0"/>
          <w:kern w:val="0"/>
          <w:sz w:val="32"/>
          <w:szCs w:val="32"/>
        </w:rPr>
        <w:t>四、聚焦司法为民，</w:t>
      </w:r>
      <w:r>
        <w:rPr>
          <w:rFonts w:hint="eastAsia" w:ascii="黑体" w:hAnsi="黑体" w:eastAsia="黑体" w:cs="黑体"/>
          <w:spacing w:val="0"/>
          <w:kern w:val="0"/>
          <w:sz w:val="32"/>
          <w:szCs w:val="32"/>
          <w:lang w:eastAsia="zh-CN"/>
        </w:rPr>
        <w:t>在检察履职中厚植执政根基</w:t>
      </w:r>
    </w:p>
    <w:p>
      <w:pPr>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ascii="Times New Roman" w:hAnsi="Times New Roman" w:eastAsia="仿宋_GB2312" w:cs="Times New Roman"/>
          <w:b/>
          <w:color w:val="000000"/>
          <w:kern w:val="2"/>
          <w:sz w:val="32"/>
          <w:szCs w:val="32"/>
          <w:lang w:val="en-US" w:eastAsia="zh-CN" w:bidi="ar-SA"/>
        </w:rPr>
        <w:t>一是</w:t>
      </w:r>
      <w:r>
        <w:rPr>
          <w:rFonts w:hint="eastAsia" w:ascii="Times New Roman" w:hAnsi="Times New Roman" w:eastAsia="仿宋_GB2312" w:cs="Times New Roman"/>
          <w:b/>
          <w:color w:val="000000"/>
          <w:kern w:val="2"/>
          <w:sz w:val="32"/>
          <w:szCs w:val="32"/>
          <w:lang w:val="en-US" w:eastAsia="zh-CN" w:bidi="ar-SA"/>
        </w:rPr>
        <w:t>开展案件短信推送业务。</w:t>
      </w:r>
      <w:r>
        <w:rPr>
          <w:rFonts w:hint="eastAsia" w:ascii="Times New Roman" w:hAnsi="Times New Roman" w:eastAsia="仿宋_GB2312" w:cs="Times New Roman"/>
          <w:b w:val="0"/>
          <w:bCs w:val="0"/>
          <w:color w:val="000000"/>
          <w:kern w:val="2"/>
          <w:sz w:val="32"/>
          <w:szCs w:val="32"/>
          <w:lang w:val="en-US" w:eastAsia="zh-CN" w:bidi="ar-SA"/>
        </w:rPr>
        <w:t>依托大数据信息管理系统，优化案件查询方式，案件节点变动主动推送短信，实现集权利义务告知、认罪认罚、律师接待、信息公开一站式检察服务，当事人可以随时随地掌握案件动态，全年推送短信</w:t>
      </w:r>
      <w:r>
        <w:rPr>
          <w:rFonts w:hint="default" w:ascii="Times New Roman" w:hAnsi="Times New Roman" w:eastAsia="仿宋_GB2312" w:cs="Times New Roman"/>
          <w:b w:val="0"/>
          <w:bCs w:val="0"/>
          <w:color w:val="000000"/>
          <w:kern w:val="2"/>
          <w:sz w:val="32"/>
          <w:szCs w:val="32"/>
          <w:lang w:val="en-US" w:eastAsia="zh-CN" w:bidi="ar-SA"/>
        </w:rPr>
        <w:t>630</w:t>
      </w:r>
      <w:r>
        <w:rPr>
          <w:rFonts w:hint="eastAsia" w:ascii="Times New Roman" w:hAnsi="Times New Roman" w:eastAsia="仿宋_GB2312" w:cs="Times New Roman"/>
          <w:b w:val="0"/>
          <w:bCs w:val="0"/>
          <w:color w:val="000000"/>
          <w:kern w:val="2"/>
          <w:sz w:val="32"/>
          <w:szCs w:val="32"/>
          <w:lang w:val="en-US" w:eastAsia="zh-CN" w:bidi="ar-SA"/>
        </w:rPr>
        <w:t>余条，让数据多传递，使群众少跑腿。</w:t>
      </w:r>
    </w:p>
    <w:p>
      <w:pPr>
        <w:ind w:firstLine="643" w:firstLineChars="200"/>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二是守护人民群众“舌尖上的安全”“个人信息隐私”。</w:t>
      </w:r>
      <w:r>
        <w:rPr>
          <w:rFonts w:hint="eastAsia" w:ascii="Times New Roman" w:hAnsi="Times New Roman" w:eastAsia="仿宋_GB2312" w:cs="Times New Roman"/>
          <w:b w:val="0"/>
          <w:bCs w:val="0"/>
          <w:color w:val="000000"/>
          <w:kern w:val="2"/>
          <w:sz w:val="32"/>
          <w:szCs w:val="32"/>
          <w:lang w:val="en-US" w:eastAsia="zh-CN" w:bidi="ar-SA"/>
        </w:rPr>
        <w:t>坚持刑事检察和公益诉讼检察双向发力，常态化开展食品药品安全领域、个人信息保护等专项活动，起诉食品药品犯罪32人、侵犯公民个人信息犯罪68人，办理食药领域公益诉讼案件21件、信息保护领域公益诉讼案件9件。运用刑事检察、公益诉讼检察职能打击违法犯罪行为，筑牢食品药品、信息安全防线，维护群众利益。</w:t>
      </w:r>
    </w:p>
    <w:p>
      <w:pPr>
        <w:keepNext w:val="0"/>
        <w:keepLines w:val="0"/>
        <w:pageBreakBefore w:val="0"/>
        <w:numPr>
          <w:ilvl w:val="0"/>
          <w:numId w:val="0"/>
        </w:numPr>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color w:val="000000"/>
          <w:kern w:val="2"/>
          <w:sz w:val="32"/>
          <w:szCs w:val="32"/>
          <w:lang w:val="en-US" w:eastAsia="zh-CN" w:bidi="ar-SA"/>
        </w:rPr>
        <w:t>三是落实“群众来信件件有回复”。</w:t>
      </w:r>
      <w:r>
        <w:rPr>
          <w:rFonts w:hint="eastAsia" w:ascii="Times New Roman" w:hAnsi="Times New Roman" w:eastAsia="仿宋_GB2312" w:cs="Times New Roman"/>
          <w:b w:val="0"/>
          <w:bCs w:val="0"/>
          <w:color w:val="000000"/>
          <w:kern w:val="2"/>
          <w:sz w:val="32"/>
          <w:szCs w:val="32"/>
          <w:lang w:val="en-US" w:eastAsia="zh-CN" w:bidi="ar-SA"/>
        </w:rPr>
        <w:t>坚持“办信就是办案、办信就是办民生”理念，对群众来信建立电子卷宗，网上流转、网上监督，提高办理质效。全年接待群众来访205人次，受理信访案件47件，均在7日内进行程序性回复，</w:t>
      </w:r>
      <w:r>
        <w:rPr>
          <w:rFonts w:hint="eastAsia" w:ascii="仿宋" w:hAnsi="仿宋" w:eastAsia="仿宋" w:cs="宋体"/>
          <w:spacing w:val="0"/>
          <w:kern w:val="0"/>
          <w:sz w:val="32"/>
          <w:szCs w:val="32"/>
          <w:lang w:val="en-US" w:eastAsia="zh-CN"/>
        </w:rPr>
        <w:t>3</w:t>
      </w:r>
      <w:r>
        <w:rPr>
          <w:rFonts w:hint="eastAsia" w:ascii="Times New Roman" w:hAnsi="Times New Roman" w:eastAsia="仿宋_GB2312" w:cs="Times New Roman"/>
          <w:b w:val="0"/>
          <w:bCs w:val="0"/>
          <w:color w:val="000000"/>
          <w:kern w:val="2"/>
          <w:sz w:val="32"/>
          <w:szCs w:val="32"/>
          <w:lang w:val="en-US" w:eastAsia="zh-CN" w:bidi="ar-SA"/>
        </w:rPr>
        <w:t>个月内实体性回复，办结回复率100%。开展弱势群体司法救助39起，救助金额85400元，解决群众的急难愁盼。</w:t>
      </w:r>
    </w:p>
    <w:p>
      <w:pPr>
        <w:keepNext w:val="0"/>
        <w:keepLines w:val="0"/>
        <w:pageBreakBefore w:val="0"/>
        <w:numPr>
          <w:ilvl w:val="0"/>
          <w:numId w:val="0"/>
        </w:numPr>
        <w:kinsoku/>
        <w:wordWrap/>
        <w:overflowPunct/>
        <w:topLinePunct w:val="0"/>
        <w:bidi w:val="0"/>
        <w:snapToGrid/>
        <w:spacing w:line="620" w:lineRule="exact"/>
        <w:ind w:firstLine="640" w:firstLineChars="200"/>
        <w:textAlignment w:val="auto"/>
        <w:rPr>
          <w:rFonts w:hint="eastAsia" w:ascii="黑体" w:hAnsi="黑体" w:eastAsia="黑体" w:cs="黑体"/>
          <w:b w:val="0"/>
          <w:bCs w:val="0"/>
          <w:color w:val="000000"/>
          <w:spacing w:val="0"/>
          <w:sz w:val="32"/>
          <w:szCs w:val="32"/>
        </w:rPr>
      </w:pPr>
      <w:r>
        <w:rPr>
          <w:rFonts w:hint="eastAsia" w:ascii="黑体" w:hAnsi="黑体" w:eastAsia="黑体" w:cs="黑体"/>
          <w:b w:val="0"/>
          <w:bCs w:val="0"/>
          <w:spacing w:val="0"/>
          <w:kern w:val="0"/>
          <w:sz w:val="32"/>
          <w:szCs w:val="32"/>
        </w:rPr>
        <w:t>五、</w:t>
      </w:r>
      <w:r>
        <w:rPr>
          <w:rFonts w:hint="eastAsia" w:ascii="黑体" w:hAnsi="黑体" w:eastAsia="黑体" w:cs="黑体"/>
          <w:b w:val="0"/>
          <w:bCs w:val="0"/>
          <w:spacing w:val="0"/>
          <w:kern w:val="0"/>
          <w:sz w:val="32"/>
          <w:szCs w:val="32"/>
          <w:lang w:eastAsia="zh-CN"/>
        </w:rPr>
        <w:t>聚焦创新发展，在检察履职中擦亮涧检品牌</w:t>
      </w:r>
    </w:p>
    <w:p>
      <w:pPr>
        <w:pStyle w:val="7"/>
        <w:overflowPunct w:val="0"/>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一是持续推进刑事案件繁简分流。</w:t>
      </w:r>
      <w:r>
        <w:rPr>
          <w:rFonts w:hint="eastAsia" w:ascii="Times New Roman" w:hAnsi="Times New Roman" w:eastAsia="仿宋_GB2312" w:cs="Times New Roman"/>
          <w:b w:val="0"/>
          <w:bCs w:val="0"/>
          <w:color w:val="000000"/>
          <w:kern w:val="2"/>
          <w:sz w:val="32"/>
          <w:szCs w:val="32"/>
          <w:lang w:val="en-US" w:eastAsia="zh-CN" w:bidi="ar-SA"/>
        </w:rPr>
        <w:t>立足内部挖潜解决案多人少矛盾，通过打造专业化团队，实行集约化办案，实现数字化流转，刑事案件繁简分流工作初步实现了“简出效率、繁出精品”的目标。2022年，区检察院简案组用刑检部门30%的办案力量，办理了70%的刑事案件，办案质效得到进一步提升。《法治日报》对区检察院刑事案件繁简分流工作情况进行专题报道，省检察院《领导参阅》转发相关做法，要求在全省推广。</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二是持续推进未成年人犯罪预防帮教工作。</w:t>
      </w:r>
      <w:r>
        <w:rPr>
          <w:rFonts w:hint="eastAsia" w:ascii="Times New Roman" w:hAnsi="Times New Roman" w:eastAsia="仿宋_GB2312" w:cs="Times New Roman"/>
          <w:b w:val="0"/>
          <w:bCs w:val="0"/>
          <w:color w:val="000000"/>
          <w:kern w:val="2"/>
          <w:sz w:val="32"/>
          <w:szCs w:val="32"/>
          <w:lang w:val="en-US" w:eastAsia="zh-CN" w:bidi="ar-SA"/>
        </w:rPr>
        <w:t>打造涧西区青少年法治教育基地，开展沉浸式法治教育20余场，为500余名师生提供检察产品、法治服务。加强检校合作，持续开展送法进校园活动，创新思政课堂，增强法治教育效果。全市率先将司法社工引入未检工作，通过开展形式多样的帮扶教育，最大限度实现对涉罪未成年人教育挽救、对被害人的心理抚慰，全年司法社工开展观护帮教59人，6人考入专科以上高等院校。设立未成年人保护热线和线索举报邮箱，携手各方力量，共画保护未成年人“同心圆”。</w:t>
      </w:r>
    </w:p>
    <w:p>
      <w:pPr>
        <w:keepNext w:val="0"/>
        <w:keepLines w:val="0"/>
        <w:pageBreakBefore w:val="0"/>
        <w:kinsoku/>
        <w:wordWrap/>
        <w:overflowPunct/>
        <w:topLinePunct w:val="0"/>
        <w:autoSpaceDE/>
        <w:autoSpaceDN/>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三是持续推进公开听证。</w:t>
      </w:r>
      <w:r>
        <w:rPr>
          <w:rFonts w:hint="eastAsia" w:ascii="Times New Roman" w:hAnsi="Times New Roman" w:eastAsia="仿宋_GB2312" w:cs="Times New Roman"/>
          <w:b w:val="0"/>
          <w:bCs w:val="0"/>
          <w:color w:val="000000"/>
          <w:kern w:val="2"/>
          <w:sz w:val="32"/>
          <w:szCs w:val="32"/>
          <w:lang w:val="en-US" w:eastAsia="zh-CN" w:bidi="ar-SA"/>
        </w:rPr>
        <w:t>自主研发听证管理系统，建立由人大代表、政协委员、律师、群众代表等67人组成的听证人才库，探索听证员分类管理，实现听证员随机抽取，确保听证公正公开透明。2022年组织听证案件65件，以“看得见”“听得到”的形式，赢得人民群众对检察工作的理解和支持。</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黑体" w:hAnsi="黑体" w:eastAsia="黑体" w:cs="黑体"/>
          <w:spacing w:val="0"/>
          <w:kern w:val="0"/>
          <w:sz w:val="32"/>
          <w:szCs w:val="32"/>
          <w:lang w:eastAsia="zh-CN"/>
        </w:rPr>
      </w:pPr>
      <w:r>
        <w:rPr>
          <w:rFonts w:hint="eastAsia" w:ascii="黑体" w:hAnsi="黑体" w:eastAsia="黑体" w:cs="黑体"/>
          <w:spacing w:val="0"/>
          <w:kern w:val="0"/>
          <w:sz w:val="32"/>
          <w:szCs w:val="32"/>
          <w:lang w:val="en-US" w:eastAsia="zh-CN"/>
        </w:rPr>
        <w:t>六、</w:t>
      </w:r>
      <w:r>
        <w:rPr>
          <w:rFonts w:hint="eastAsia" w:ascii="黑体" w:hAnsi="黑体" w:eastAsia="黑体" w:cs="黑体"/>
          <w:spacing w:val="0"/>
          <w:kern w:val="0"/>
          <w:sz w:val="32"/>
          <w:szCs w:val="32"/>
        </w:rPr>
        <w:t>聚焦队伍建设，</w:t>
      </w:r>
      <w:r>
        <w:rPr>
          <w:rFonts w:hint="eastAsia" w:ascii="黑体" w:hAnsi="黑体" w:eastAsia="黑体" w:cs="黑体"/>
          <w:spacing w:val="0"/>
          <w:kern w:val="0"/>
          <w:sz w:val="32"/>
          <w:szCs w:val="32"/>
          <w:lang w:eastAsia="zh-CN"/>
        </w:rPr>
        <w:t>在检察履职中打造忠诚铁军</w:t>
      </w:r>
    </w:p>
    <w:p>
      <w:pPr>
        <w:keepNext w:val="0"/>
        <w:keepLines w:val="0"/>
        <w:pageBreakBefore w:val="0"/>
        <w:shd w:val="clear" w:color="auto" w:fill="auto"/>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一是狠抓领导班子建设。</w:t>
      </w:r>
      <w:r>
        <w:rPr>
          <w:rFonts w:hint="eastAsia" w:ascii="Times New Roman" w:hAnsi="Times New Roman" w:eastAsia="仿宋_GB2312" w:cs="Times New Roman"/>
          <w:b w:val="0"/>
          <w:bCs w:val="0"/>
          <w:color w:val="000000"/>
          <w:kern w:val="2"/>
          <w:sz w:val="32"/>
          <w:szCs w:val="32"/>
          <w:lang w:val="en-US" w:eastAsia="zh-CN" w:bidi="ar-SA"/>
        </w:rPr>
        <w:t>强化理论武装，认真学习贯彻习近平新时代中国特色社会主义思想和党的二十大精神，坚持“第一议题”，提高班子成员政治理论素养和领导能力。发扬斗争精神，开好民主生活会、组织生活会，过好双重组织生活。坚持民主集中制，凡是“三重一大”事项，均集体研究决定，以班子建设引领队伍建设。</w:t>
      </w:r>
    </w:p>
    <w:p>
      <w:pPr>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二是狠抓机关党的建设。</w:t>
      </w:r>
      <w:r>
        <w:rPr>
          <w:rFonts w:hint="eastAsia" w:ascii="Times New Roman" w:hAnsi="Times New Roman" w:eastAsia="仿宋_GB2312" w:cs="Times New Roman"/>
          <w:b w:val="0"/>
          <w:bCs w:val="0"/>
          <w:color w:val="000000"/>
          <w:kern w:val="2"/>
          <w:sz w:val="32"/>
          <w:szCs w:val="32"/>
          <w:lang w:val="en-US" w:eastAsia="zh-CN" w:bidi="ar-SA"/>
        </w:rPr>
        <w:t>坚持党建与业务同步谋划推进，推动党建与检察工作深度融合，充分发挥党建引领作用，通过检察长讲党课、主题党日活动，组织干警</w:t>
      </w:r>
      <w:r>
        <w:rPr>
          <w:rFonts w:hint="default" w:ascii="Times New Roman" w:hAnsi="Times New Roman" w:eastAsia="仿宋_GB2312" w:cs="Times New Roman"/>
          <w:b w:val="0"/>
          <w:bCs w:val="0"/>
          <w:color w:val="000000"/>
          <w:kern w:val="2"/>
          <w:sz w:val="32"/>
          <w:szCs w:val="32"/>
          <w:lang w:val="en-US" w:eastAsia="zh-CN" w:bidi="ar-SA"/>
        </w:rPr>
        <w:t>走进中共洛阳组诞生地，重温入党誓词，</w:t>
      </w:r>
      <w:r>
        <w:rPr>
          <w:rFonts w:hint="eastAsia" w:ascii="Times New Roman" w:hAnsi="Times New Roman" w:eastAsia="仿宋_GB2312" w:cs="Times New Roman"/>
          <w:b w:val="0"/>
          <w:bCs w:val="0"/>
          <w:color w:val="000000"/>
          <w:kern w:val="2"/>
          <w:sz w:val="32"/>
          <w:szCs w:val="32"/>
          <w:lang w:val="en-US" w:eastAsia="zh-CN" w:bidi="ar-SA"/>
        </w:rPr>
        <w:t>增强党性修养。</w:t>
      </w:r>
      <w:r>
        <w:rPr>
          <w:rFonts w:hint="default" w:ascii="Times New Roman" w:hAnsi="Times New Roman" w:eastAsia="仿宋_GB2312" w:cs="Times New Roman"/>
          <w:b w:val="0"/>
          <w:bCs w:val="0"/>
          <w:color w:val="000000"/>
          <w:kern w:val="2"/>
          <w:sz w:val="32"/>
          <w:szCs w:val="32"/>
          <w:lang w:val="en-US" w:eastAsia="zh-CN" w:bidi="ar-SA"/>
        </w:rPr>
        <w:t>党员干警带头参与“携手呵护成长、用心守护未来”</w:t>
      </w:r>
      <w:r>
        <w:rPr>
          <w:rFonts w:hint="eastAsia" w:ascii="Times New Roman" w:hAnsi="Times New Roman" w:eastAsia="仿宋_GB2312" w:cs="Times New Roman"/>
          <w:b w:val="0"/>
          <w:bCs w:val="0"/>
          <w:color w:val="000000"/>
          <w:kern w:val="2"/>
          <w:sz w:val="32"/>
          <w:szCs w:val="32"/>
          <w:lang w:val="en-US" w:eastAsia="zh-CN" w:bidi="ar-SA"/>
        </w:rPr>
        <w:t>“九九”公益</w:t>
      </w:r>
      <w:r>
        <w:rPr>
          <w:rFonts w:hint="default" w:ascii="Times New Roman" w:hAnsi="Times New Roman" w:eastAsia="仿宋_GB2312" w:cs="Times New Roman"/>
          <w:b w:val="0"/>
          <w:bCs w:val="0"/>
          <w:color w:val="000000"/>
          <w:kern w:val="2"/>
          <w:sz w:val="32"/>
          <w:szCs w:val="32"/>
          <w:lang w:val="en-US" w:eastAsia="zh-CN" w:bidi="ar-SA"/>
        </w:rPr>
        <w:t>捐款</w:t>
      </w:r>
      <w:r>
        <w:rPr>
          <w:rFonts w:hint="eastAsia" w:ascii="Times New Roman" w:hAnsi="Times New Roman" w:eastAsia="仿宋_GB2312" w:cs="Times New Roman"/>
          <w:b w:val="0"/>
          <w:bCs w:val="0"/>
          <w:color w:val="000000"/>
          <w:kern w:val="2"/>
          <w:sz w:val="32"/>
          <w:szCs w:val="32"/>
          <w:lang w:val="en-US" w:eastAsia="zh-CN" w:bidi="ar-SA"/>
        </w:rPr>
        <w:t>、无偿献血等</w:t>
      </w:r>
      <w:r>
        <w:rPr>
          <w:rFonts w:hint="default" w:ascii="Times New Roman" w:hAnsi="Times New Roman" w:eastAsia="仿宋_GB2312" w:cs="Times New Roman"/>
          <w:b w:val="0"/>
          <w:bCs w:val="0"/>
          <w:color w:val="000000"/>
          <w:kern w:val="2"/>
          <w:sz w:val="32"/>
          <w:szCs w:val="32"/>
          <w:lang w:val="en-US" w:eastAsia="zh-CN" w:bidi="ar-SA"/>
        </w:rPr>
        <w:t>活动，</w:t>
      </w:r>
      <w:r>
        <w:rPr>
          <w:rFonts w:hint="eastAsia" w:ascii="Times New Roman" w:hAnsi="Times New Roman" w:eastAsia="仿宋_GB2312" w:cs="Times New Roman"/>
          <w:b w:val="0"/>
          <w:bCs w:val="0"/>
          <w:color w:val="000000"/>
          <w:kern w:val="2"/>
          <w:sz w:val="32"/>
          <w:szCs w:val="32"/>
          <w:lang w:val="en-US" w:eastAsia="zh-CN" w:bidi="ar-SA"/>
        </w:rPr>
        <w:t>向社会奉献爱心。</w:t>
      </w:r>
    </w:p>
    <w:p>
      <w:pPr>
        <w:ind w:firstLine="643"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三是狠抓能力素质建设。</w:t>
      </w:r>
      <w:r>
        <w:rPr>
          <w:rFonts w:hint="eastAsia" w:ascii="Times New Roman" w:hAnsi="Times New Roman" w:eastAsia="仿宋_GB2312" w:cs="Times New Roman"/>
          <w:b w:val="0"/>
          <w:bCs w:val="0"/>
          <w:color w:val="000000"/>
          <w:kern w:val="2"/>
          <w:sz w:val="32"/>
          <w:szCs w:val="32"/>
          <w:lang w:val="en-US" w:eastAsia="zh-CN" w:bidi="ar-SA"/>
        </w:rPr>
        <w:t>以开展“能力作风建设年”活动为契机，每周召开支部例会、每月召开业务推进会，常态化开展岗位练兵、师傅带徒弟、业务研讨、业务能手上讲堂等，综合利用“线上+线下”相结合形式开展各类专题培训，提升干警的业务素质和专业技能，在全市检察系统公诉人大赛中，区检察院3名干警荣获“十佳公诉人”称号。</w:t>
      </w:r>
    </w:p>
    <w:p>
      <w:pPr>
        <w:keepNext w:val="0"/>
        <w:keepLines w:val="0"/>
        <w:pageBreakBefore w:val="0"/>
        <w:shd w:val="clear" w:color="auto" w:fill="auto"/>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四是狠抓党风廉政建设。</w:t>
      </w:r>
      <w:r>
        <w:rPr>
          <w:rFonts w:hint="eastAsia" w:ascii="Times New Roman" w:hAnsi="Times New Roman" w:eastAsia="仿宋_GB2312" w:cs="Times New Roman"/>
          <w:b w:val="0"/>
          <w:bCs w:val="0"/>
          <w:color w:val="000000"/>
          <w:kern w:val="2"/>
          <w:sz w:val="32"/>
          <w:szCs w:val="32"/>
          <w:lang w:val="en-US" w:eastAsia="zh-CN" w:bidi="ar-SA"/>
        </w:rPr>
        <w:t>坚决扛牢全面从严治检主体责任，建立监督预防“治未病”工作机制。加强典型案例的警示教育，开展以案促改和执法司法顽瘴痼疾整治，实现谈心谈话“全覆盖”，持续推动“三个规定”落实，严防干预司法行为。狠抓纪律作风建设，坚持正确用人导向，激励干部担当作为，建设过硬队伍。</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仿宋" w:hAnsi="仿宋" w:eastAsia="仿宋" w:cs="Courier New"/>
          <w:spacing w:val="0"/>
          <w:kern w:val="0"/>
          <w:sz w:val="32"/>
          <w:szCs w:val="32"/>
        </w:rPr>
      </w:pPr>
      <w:r>
        <w:rPr>
          <w:rFonts w:hint="eastAsia" w:ascii="黑体" w:hAnsi="黑体" w:eastAsia="黑体" w:cs="黑体"/>
          <w:spacing w:val="0"/>
          <w:kern w:val="0"/>
          <w:sz w:val="32"/>
          <w:szCs w:val="32"/>
          <w:lang w:eastAsia="zh-CN"/>
        </w:rPr>
        <w:t>七</w:t>
      </w:r>
      <w:r>
        <w:rPr>
          <w:rFonts w:hint="eastAsia" w:ascii="黑体" w:hAnsi="黑体" w:eastAsia="黑体" w:cs="黑体"/>
          <w:spacing w:val="0"/>
          <w:kern w:val="0"/>
          <w:sz w:val="32"/>
          <w:szCs w:val="32"/>
        </w:rPr>
        <w:t>、</w:t>
      </w:r>
      <w:r>
        <w:rPr>
          <w:rFonts w:hint="eastAsia" w:ascii="黑体" w:hAnsi="黑体" w:eastAsia="黑体" w:cs="黑体"/>
          <w:spacing w:val="0"/>
          <w:kern w:val="0"/>
          <w:sz w:val="32"/>
          <w:szCs w:val="32"/>
          <w:lang w:eastAsia="zh-CN"/>
        </w:rPr>
        <w:t>聚焦监督制约，在检察履职中自觉</w:t>
      </w:r>
      <w:r>
        <w:rPr>
          <w:rFonts w:hint="eastAsia" w:ascii="黑体" w:hAnsi="黑体" w:eastAsia="黑体" w:cs="黑体"/>
          <w:spacing w:val="0"/>
          <w:kern w:val="0"/>
          <w:sz w:val="32"/>
          <w:szCs w:val="32"/>
        </w:rPr>
        <w:t>接受监督</w:t>
      </w:r>
    </w:p>
    <w:p>
      <w:pPr>
        <w:keepNext w:val="0"/>
        <w:keepLines w:val="0"/>
        <w:pageBreakBefore w:val="0"/>
        <w:numPr>
          <w:ilvl w:val="0"/>
          <w:numId w:val="0"/>
        </w:numPr>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一是切实加强代表联络。</w:t>
      </w:r>
      <w:r>
        <w:rPr>
          <w:rFonts w:hint="eastAsia" w:ascii="Times New Roman" w:hAnsi="Times New Roman" w:eastAsia="仿宋_GB2312" w:cs="Times New Roman"/>
          <w:b w:val="0"/>
          <w:bCs w:val="0"/>
          <w:color w:val="000000"/>
          <w:kern w:val="2"/>
          <w:sz w:val="32"/>
          <w:szCs w:val="32"/>
          <w:lang w:val="en-US" w:eastAsia="zh-CN" w:bidi="ar-SA"/>
        </w:rPr>
        <w:t>对人大负责并报告工作，针对代表、委员提出的议案、建议和提案，按期办结。邀请代表、委员参与调研、座谈、听证等36次。去年8月，区人大组织代表视察区检察院“少捕慎诉慎押”刑事司法政策落实情况，对各位代表提出的意见、建议，区检察院主动认领，积极整改，及时反馈。完善代表联络机制，拓宽意见收集、联系渠道，用代表的监督建议助力检察工作高质量发展。</w:t>
      </w:r>
    </w:p>
    <w:p>
      <w:pPr>
        <w:keepNext w:val="0"/>
        <w:keepLines w:val="0"/>
        <w:pageBreakBefore w:val="0"/>
        <w:numPr>
          <w:ilvl w:val="0"/>
          <w:numId w:val="0"/>
        </w:numPr>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二是切实推进“阳光检察”。</w:t>
      </w:r>
      <w:r>
        <w:rPr>
          <w:rFonts w:hint="eastAsia" w:ascii="Times New Roman" w:hAnsi="Times New Roman" w:eastAsia="仿宋_GB2312" w:cs="Times New Roman"/>
          <w:b w:val="0"/>
          <w:bCs w:val="0"/>
          <w:color w:val="000000"/>
          <w:kern w:val="2"/>
          <w:sz w:val="32"/>
          <w:szCs w:val="32"/>
          <w:lang w:val="en-US" w:eastAsia="zh-CN" w:bidi="ar-SA"/>
        </w:rPr>
        <w:t>扎实开展“检察开放日”活动，邀请律师、新闻媒体等各界人士700余人走进检察院，举办“民有所呼、我有所应—群众信访件件有回复”新时代检察宣传周活动等，让人民群众了解检察工作，自觉接受群众监督，切实推动检察权在阳光下运行。</w:t>
      </w:r>
    </w:p>
    <w:p>
      <w:pPr>
        <w:keepNext w:val="0"/>
        <w:keepLines w:val="0"/>
        <w:pageBreakBefore w:val="0"/>
        <w:numPr>
          <w:ilvl w:val="0"/>
          <w:numId w:val="0"/>
        </w:numPr>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三是切实强化履职制约。</w:t>
      </w:r>
      <w:r>
        <w:rPr>
          <w:rFonts w:hint="eastAsia" w:ascii="Times New Roman" w:hAnsi="Times New Roman" w:eastAsia="仿宋_GB2312" w:cs="Times New Roman"/>
          <w:b w:val="0"/>
          <w:bCs w:val="0"/>
          <w:color w:val="000000"/>
          <w:kern w:val="2"/>
          <w:sz w:val="32"/>
          <w:szCs w:val="32"/>
          <w:lang w:val="en-US" w:eastAsia="zh-CN" w:bidi="ar-SA"/>
        </w:rPr>
        <w:t>定期组织案件质量评查、办案风险评估，针对发现的问题，及时纠正，同步跟进，督促整改。加强律师执业权利保障，细化实化服务措施，开辟“绿色通道”，提供律师异地阅卷、互联网阅卷，接待辩护人、诉讼代理人1260次，为律师刻录电子卷宗光盘227张，构建良性互动的新型检律关系，有效保障律师执业权利。</w:t>
      </w:r>
    </w:p>
    <w:p>
      <w:pPr>
        <w:keepNext w:val="0"/>
        <w:keepLines w:val="0"/>
        <w:pageBreakBefore w:val="0"/>
        <w:numPr>
          <w:ilvl w:val="0"/>
          <w:numId w:val="0"/>
        </w:numPr>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各位代表，2022年是检察工作不平凡的一年，区检察院以实干笃定前行，用汗水浇灌收获，检察工作取得了新的成绩，在全市检察系统年终考评中进入先进行列，17个集体、个人受到市级以上表彰，其中12309检察服务中心被省检察院表彰为全省“文明接待室”，挂牌成立了杨丽霞“全国三八红旗手工作室”，第五检察部主任唐韬涛被评为全省“人民满意的政法干警”。这些成绩的取得，离不开区委和市检察院的坚强领导，离不开区人大及其常委会的有力监督，离不开区政府、政协以及社会各界的大力支持，更离不开各位人大代表、政协委员的倾心助力。在此，我代表区检察院全体干警向关心、支持、帮助检察工作发展的各级领导、各位代表、委员和各界人士表示崇高的敬意和衷心的感谢！</w:t>
      </w:r>
    </w:p>
    <w:p>
      <w:pPr>
        <w:keepNext w:val="0"/>
        <w:keepLines w:val="0"/>
        <w:pageBreakBefore w:val="0"/>
        <w:numPr>
          <w:ilvl w:val="0"/>
          <w:numId w:val="0"/>
        </w:numPr>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我们也清醒认识到，工作中存在一些问题和不足：一是检察理念还须进一步更新，服务保障涧西经济社会高质量发展实效性有待持续增强。二是与平安涧西、法治涧西建设新要求相比，法律监督质效和能力存在差距。三是检察队伍能力与新形势、新任务的要求存在差距，高层次、专业化、综合性人才培养力度不够。对于这些问题，我们将采取有效措施，认真加以解决。</w:t>
      </w:r>
    </w:p>
    <w:p>
      <w:pPr>
        <w:keepNext w:val="0"/>
        <w:keepLines w:val="0"/>
        <w:pageBreakBefore w:val="0"/>
        <w:shd w:val="clear" w:color="auto" w:fill="auto"/>
        <w:kinsoku/>
        <w:wordWrap/>
        <w:overflowPunct/>
        <w:topLinePunct w:val="0"/>
        <w:bidi w:val="0"/>
        <w:snapToGrid/>
        <w:spacing w:line="620" w:lineRule="exact"/>
        <w:ind w:firstLine="2520" w:firstLineChars="700"/>
        <w:textAlignment w:val="auto"/>
        <w:rPr>
          <w:rFonts w:hint="eastAsia" w:ascii="黑体" w:hAnsi="黑体" w:eastAsia="黑体" w:cs="黑体"/>
          <w:spacing w:val="0"/>
          <w:kern w:val="0"/>
          <w:sz w:val="36"/>
          <w:szCs w:val="36"/>
        </w:rPr>
      </w:pPr>
      <w:r>
        <w:rPr>
          <w:rFonts w:hint="eastAsia" w:ascii="黑体" w:hAnsi="黑体" w:eastAsia="黑体" w:cs="黑体"/>
          <w:spacing w:val="0"/>
          <w:kern w:val="0"/>
          <w:sz w:val="36"/>
          <w:szCs w:val="36"/>
        </w:rPr>
        <w:t>202</w:t>
      </w:r>
      <w:r>
        <w:rPr>
          <w:rFonts w:hint="eastAsia" w:ascii="黑体" w:hAnsi="黑体" w:eastAsia="黑体" w:cs="黑体"/>
          <w:spacing w:val="0"/>
          <w:kern w:val="0"/>
          <w:sz w:val="36"/>
          <w:szCs w:val="36"/>
          <w:lang w:val="en-US" w:eastAsia="zh-CN"/>
        </w:rPr>
        <w:t>3</w:t>
      </w:r>
      <w:r>
        <w:rPr>
          <w:rFonts w:hint="eastAsia" w:ascii="黑体" w:hAnsi="黑体" w:eastAsia="黑体" w:cs="黑体"/>
          <w:spacing w:val="0"/>
          <w:kern w:val="0"/>
          <w:sz w:val="36"/>
          <w:szCs w:val="36"/>
        </w:rPr>
        <w:t>年工作安排</w:t>
      </w:r>
    </w:p>
    <w:p>
      <w:pPr>
        <w:keepNext w:val="0"/>
        <w:keepLines w:val="0"/>
        <w:pageBreakBefore w:val="0"/>
        <w:kinsoku/>
        <w:wordWrap/>
        <w:overflowPunct/>
        <w:topLinePunct w:val="0"/>
        <w:bidi w:val="0"/>
        <w:snapToGrid/>
        <w:spacing w:line="620" w:lineRule="exact"/>
        <w:ind w:firstLine="640" w:firstLineChars="200"/>
        <w:textAlignment w:val="auto"/>
        <w:rPr>
          <w:rFonts w:hint="eastAsia" w:ascii="楷体" w:hAnsi="楷体" w:eastAsia="楷体" w:cs="楷体"/>
          <w:b/>
          <w:bCs/>
          <w:spacing w:val="0"/>
          <w:kern w:val="0"/>
          <w:sz w:val="32"/>
          <w:szCs w:val="32"/>
          <w:lang w:eastAsia="zh-CN"/>
        </w:rPr>
      </w:pPr>
      <w:r>
        <w:rPr>
          <w:rFonts w:hint="eastAsia" w:ascii="Times New Roman" w:hAnsi="Times New Roman" w:eastAsia="仿宋_GB2312" w:cs="Times New Roman"/>
          <w:b w:val="0"/>
          <w:bCs w:val="0"/>
          <w:color w:val="000000"/>
          <w:kern w:val="2"/>
          <w:sz w:val="32"/>
          <w:szCs w:val="32"/>
          <w:lang w:val="en-US" w:eastAsia="zh-CN" w:bidi="ar-SA"/>
        </w:rPr>
        <w:t>各位代表，2023年是学习贯彻党的二十大精神的开局之年，区检察院工作的指导思想和主要任务是：</w:t>
      </w:r>
      <w:r>
        <w:rPr>
          <w:rFonts w:hint="eastAsia" w:ascii="楷体" w:hAnsi="楷体" w:eastAsia="楷体" w:cs="楷体"/>
          <w:b/>
          <w:bCs/>
          <w:spacing w:val="0"/>
          <w:kern w:val="0"/>
          <w:sz w:val="32"/>
          <w:szCs w:val="32"/>
        </w:rPr>
        <w:t>坚持以习近平新时代中国特色社会主义思想为指导，</w:t>
      </w:r>
      <w:r>
        <w:rPr>
          <w:rFonts w:hint="eastAsia" w:ascii="楷体" w:hAnsi="楷体" w:eastAsia="楷体" w:cs="楷体"/>
          <w:b/>
          <w:bCs/>
          <w:spacing w:val="0"/>
          <w:kern w:val="0"/>
          <w:sz w:val="32"/>
          <w:szCs w:val="32"/>
          <w:lang w:eastAsia="zh-CN"/>
        </w:rPr>
        <w:t>认真学习</w:t>
      </w:r>
      <w:r>
        <w:rPr>
          <w:rFonts w:hint="eastAsia" w:ascii="楷体" w:hAnsi="楷体" w:eastAsia="楷体" w:cs="楷体"/>
          <w:b/>
          <w:bCs/>
          <w:spacing w:val="0"/>
          <w:kern w:val="0"/>
          <w:sz w:val="32"/>
          <w:szCs w:val="32"/>
        </w:rPr>
        <w:t>贯彻党的</w:t>
      </w:r>
      <w:r>
        <w:rPr>
          <w:rFonts w:hint="eastAsia" w:ascii="楷体" w:hAnsi="楷体" w:eastAsia="楷体" w:cs="楷体"/>
          <w:b/>
          <w:bCs/>
          <w:spacing w:val="0"/>
          <w:kern w:val="0"/>
          <w:sz w:val="32"/>
          <w:szCs w:val="32"/>
          <w:lang w:eastAsia="zh-CN"/>
        </w:rPr>
        <w:t>二十大</w:t>
      </w:r>
      <w:r>
        <w:rPr>
          <w:rFonts w:hint="eastAsia" w:ascii="楷体" w:hAnsi="楷体" w:eastAsia="楷体" w:cs="楷体"/>
          <w:b/>
          <w:bCs/>
          <w:spacing w:val="0"/>
          <w:kern w:val="0"/>
          <w:sz w:val="32"/>
          <w:szCs w:val="32"/>
        </w:rPr>
        <w:t>精神，</w:t>
      </w:r>
      <w:r>
        <w:rPr>
          <w:rFonts w:hint="eastAsia" w:ascii="楷体" w:hAnsi="楷体" w:eastAsia="楷体" w:cs="楷体"/>
          <w:b/>
          <w:bCs/>
          <w:spacing w:val="0"/>
          <w:kern w:val="0"/>
          <w:sz w:val="32"/>
          <w:szCs w:val="32"/>
          <w:lang w:eastAsia="zh-CN"/>
        </w:rPr>
        <w:t>全面落实习近平总书记对政法工作的重要指示精神，</w:t>
      </w:r>
      <w:r>
        <w:rPr>
          <w:rFonts w:hint="eastAsia" w:ascii="楷体" w:hAnsi="楷体" w:eastAsia="楷体" w:cs="楷体"/>
          <w:b/>
          <w:bCs/>
          <w:spacing w:val="0"/>
          <w:kern w:val="0"/>
          <w:sz w:val="32"/>
          <w:szCs w:val="32"/>
        </w:rPr>
        <w:t>坚持党对检察工作的绝对领导，</w:t>
      </w:r>
      <w:r>
        <w:rPr>
          <w:rFonts w:hint="eastAsia" w:ascii="楷体" w:hAnsi="楷体" w:eastAsia="楷体" w:cs="楷体"/>
          <w:b/>
          <w:bCs/>
          <w:color w:val="000000"/>
          <w:spacing w:val="0"/>
          <w:sz w:val="32"/>
          <w:szCs w:val="32"/>
          <w:lang w:eastAsia="zh-CN"/>
        </w:rPr>
        <w:t>坚持以人民为中心，坚持改革创新，聚焦</w:t>
      </w:r>
      <w:r>
        <w:rPr>
          <w:rFonts w:hint="eastAsia" w:ascii="楷体" w:hAnsi="楷体" w:eastAsia="楷体" w:cs="楷体"/>
          <w:b/>
          <w:bCs/>
          <w:spacing w:val="0"/>
          <w:sz w:val="32"/>
          <w:szCs w:val="32"/>
        </w:rPr>
        <w:t>“千亿强区、首创之区、品质涧西”</w:t>
      </w:r>
      <w:r>
        <w:rPr>
          <w:rFonts w:hint="eastAsia" w:ascii="楷体" w:hAnsi="楷体" w:eastAsia="楷体" w:cs="楷体"/>
          <w:b/>
          <w:bCs/>
          <w:spacing w:val="0"/>
          <w:sz w:val="32"/>
          <w:szCs w:val="32"/>
          <w:lang w:eastAsia="zh-CN"/>
        </w:rPr>
        <w:t>建设，</w:t>
      </w:r>
      <w:r>
        <w:rPr>
          <w:rFonts w:hint="eastAsia" w:ascii="楷体" w:hAnsi="楷体" w:eastAsia="楷体" w:cs="楷体"/>
          <w:b/>
          <w:bCs/>
          <w:color w:val="000000"/>
          <w:spacing w:val="0"/>
          <w:sz w:val="32"/>
          <w:szCs w:val="32"/>
          <w:lang w:eastAsia="zh-CN"/>
        </w:rPr>
        <w:t>以“争先进、创一流”的求极致精神，</w:t>
      </w:r>
      <w:r>
        <w:rPr>
          <w:rFonts w:hint="eastAsia" w:ascii="楷体" w:hAnsi="楷体" w:eastAsia="楷体" w:cs="楷体"/>
          <w:b/>
          <w:bCs/>
          <w:spacing w:val="0"/>
          <w:kern w:val="0"/>
          <w:sz w:val="32"/>
          <w:szCs w:val="32"/>
        </w:rPr>
        <w:t>落实区委和上级院决策部署，</w:t>
      </w:r>
      <w:r>
        <w:rPr>
          <w:rFonts w:hint="eastAsia" w:ascii="楷体" w:hAnsi="楷体" w:eastAsia="楷体" w:cs="楷体"/>
          <w:b/>
          <w:bCs/>
          <w:spacing w:val="0"/>
          <w:kern w:val="0"/>
          <w:sz w:val="32"/>
          <w:szCs w:val="32"/>
          <w:lang w:eastAsia="zh-CN"/>
        </w:rPr>
        <w:t>以能动履职</w:t>
      </w:r>
      <w:r>
        <w:rPr>
          <w:rFonts w:hint="eastAsia" w:ascii="楷体" w:hAnsi="楷体" w:eastAsia="楷体" w:cs="楷体"/>
          <w:b/>
          <w:bCs/>
          <w:spacing w:val="0"/>
          <w:kern w:val="0"/>
          <w:sz w:val="32"/>
          <w:szCs w:val="32"/>
        </w:rPr>
        <w:t>推</w:t>
      </w:r>
      <w:r>
        <w:rPr>
          <w:rFonts w:hint="eastAsia" w:ascii="楷体" w:hAnsi="楷体" w:eastAsia="楷体" w:cs="楷体"/>
          <w:b/>
          <w:bCs/>
          <w:spacing w:val="0"/>
          <w:kern w:val="0"/>
          <w:sz w:val="32"/>
          <w:szCs w:val="32"/>
          <w:lang w:eastAsia="zh-CN"/>
        </w:rPr>
        <w:t>进</w:t>
      </w:r>
      <w:r>
        <w:rPr>
          <w:rFonts w:hint="eastAsia" w:ascii="楷体" w:hAnsi="楷体" w:eastAsia="楷体" w:cs="楷体"/>
          <w:b/>
          <w:bCs/>
          <w:spacing w:val="0"/>
          <w:kern w:val="0"/>
          <w:sz w:val="32"/>
          <w:szCs w:val="32"/>
        </w:rPr>
        <w:t>检察工作</w:t>
      </w:r>
      <w:r>
        <w:rPr>
          <w:rFonts w:hint="eastAsia" w:ascii="楷体" w:hAnsi="楷体" w:eastAsia="楷体" w:cs="楷体"/>
          <w:b/>
          <w:bCs/>
          <w:spacing w:val="0"/>
          <w:kern w:val="0"/>
          <w:sz w:val="32"/>
          <w:szCs w:val="32"/>
          <w:lang w:eastAsia="zh-CN"/>
        </w:rPr>
        <w:t>现代化，</w:t>
      </w:r>
      <w:r>
        <w:rPr>
          <w:rFonts w:hint="eastAsia" w:ascii="楷体" w:hAnsi="楷体" w:eastAsia="楷体" w:cs="楷体"/>
          <w:b/>
          <w:bCs/>
          <w:spacing w:val="0"/>
          <w:sz w:val="32"/>
          <w:szCs w:val="32"/>
        </w:rPr>
        <w:t>为</w:t>
      </w:r>
      <w:r>
        <w:rPr>
          <w:rFonts w:hint="eastAsia" w:ascii="楷体" w:hAnsi="楷体" w:eastAsia="楷体" w:cs="楷体"/>
          <w:b/>
          <w:bCs/>
          <w:spacing w:val="0"/>
          <w:sz w:val="32"/>
          <w:szCs w:val="32"/>
          <w:lang w:eastAsia="zh-CN"/>
        </w:rPr>
        <w:t>谱写现代化涧西建设新篇章</w:t>
      </w:r>
      <w:r>
        <w:rPr>
          <w:rFonts w:hint="eastAsia" w:ascii="楷体" w:hAnsi="楷体" w:eastAsia="楷体" w:cs="楷体"/>
          <w:b/>
          <w:bCs/>
          <w:spacing w:val="0"/>
          <w:sz w:val="32"/>
          <w:szCs w:val="32"/>
          <w:lang w:val="en-US" w:eastAsia="zh-CN"/>
        </w:rPr>
        <w:t>提供法治保障、检察保障。</w:t>
      </w:r>
    </w:p>
    <w:p>
      <w:pPr>
        <w:ind w:firstLine="643" w:firstLineChars="200"/>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一是在学思践悟、政治引领上持续用心用力。</w:t>
      </w:r>
      <w:r>
        <w:rPr>
          <w:rFonts w:hint="eastAsia" w:ascii="Times New Roman" w:hAnsi="Times New Roman" w:eastAsia="仿宋_GB2312" w:cs="Times New Roman"/>
          <w:b w:val="0"/>
          <w:bCs w:val="0"/>
          <w:color w:val="000000"/>
          <w:kern w:val="2"/>
          <w:sz w:val="32"/>
          <w:szCs w:val="32"/>
          <w:lang w:val="en-US" w:eastAsia="zh-CN" w:bidi="ar-SA"/>
        </w:rPr>
        <w:t>坚持以习近平新时代中国特色社会主义思想为指导，深入学习贯彻党的二十大精神，切实把学习成果转化为推动工作、破解难题的思路举措，把“两个确立”“两个维护”落实到新时代新征程检察工作全过程、各环节，在检察工作实践中站稳政治立场、把准政治方向、提高政治能力、坚持政治原则，扎实推进检察工作现代化。</w:t>
      </w:r>
    </w:p>
    <w:p>
      <w:pPr>
        <w:keepNext w:val="0"/>
        <w:keepLines w:val="0"/>
        <w:pageBreakBefore w:val="0"/>
        <w:shd w:val="clear" w:color="auto" w:fill="auto"/>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二是在服务大局、为民司法上持续用心用力。</w:t>
      </w:r>
      <w:r>
        <w:rPr>
          <w:rFonts w:hint="eastAsia" w:ascii="Times New Roman" w:hAnsi="Times New Roman" w:eastAsia="仿宋_GB2312" w:cs="Times New Roman"/>
          <w:b w:val="0"/>
          <w:bCs w:val="0"/>
          <w:color w:val="000000"/>
          <w:kern w:val="2"/>
          <w:sz w:val="32"/>
          <w:szCs w:val="32"/>
          <w:lang w:val="en-US" w:eastAsia="zh-CN" w:bidi="ar-SA"/>
        </w:rPr>
        <w:t>全力履行维护国家政治安全、确保社会大局稳定、促进社会公平正义、保障人民安居乐业的职责使命，常态化开展扫黑除恶斗争，积极参与市域社会治理和“四官”进社区，扎实开展涉案企业合规，优化法治化营商环境。坚持司法为民，聚焦群众关切，全面履行民事行政和公益诉讼职能，守护人民群众的美好生活。</w:t>
      </w:r>
    </w:p>
    <w:p>
      <w:pPr>
        <w:keepNext w:val="0"/>
        <w:keepLines w:val="0"/>
        <w:pageBreakBefore w:val="0"/>
        <w:shd w:val="clear" w:color="auto" w:fill="auto"/>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三是在强化监督、提质增效上持续用心用力。</w:t>
      </w:r>
      <w:r>
        <w:rPr>
          <w:rFonts w:hint="eastAsia" w:ascii="Times New Roman" w:hAnsi="Times New Roman" w:eastAsia="仿宋_GB2312" w:cs="Times New Roman"/>
          <w:b w:val="0"/>
          <w:bCs w:val="0"/>
          <w:color w:val="000000"/>
          <w:kern w:val="2"/>
          <w:sz w:val="32"/>
          <w:szCs w:val="32"/>
          <w:lang w:val="en-US" w:eastAsia="zh-CN" w:bidi="ar-SA"/>
        </w:rPr>
        <w:t>更新司法理念，进一步聚焦法律监督主业，强化业务分析，加强典型案例培育，严把案件质量关，推动检察业务提质增效，实现检察工作全面发展。坚持创新能动履职，以司法理念现代化确保正确政治方向，以履职方式现代化增强服务大局实效，以检察管理现代化赋能新时代检察工作，以监督能力现代化助力更高水平法治建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四是在创新发展、激发活力上持续用心用力。</w:t>
      </w:r>
      <w:r>
        <w:rPr>
          <w:rFonts w:hint="eastAsia" w:ascii="Times New Roman" w:hAnsi="Times New Roman" w:eastAsia="仿宋_GB2312" w:cs="Times New Roman"/>
          <w:b w:val="0"/>
          <w:bCs w:val="0"/>
          <w:color w:val="000000"/>
          <w:kern w:val="2"/>
          <w:sz w:val="32"/>
          <w:szCs w:val="32"/>
          <w:lang w:val="en-US" w:eastAsia="zh-CN" w:bidi="ar-SA"/>
        </w:rPr>
        <w:t>增强大数据战略思维，抢抓数字化改革机遇，找准能动司法新路径，加快数字检察建设，以大数据赋能新时代检察监督。充分运用大数据提升法律监督质效，更好维护公平正义；充分运用大数据促进诉源治理，助推提升市域社会治理效能；充分运用大数据加强精准精细管理，推动提高检察管理科学化水平。</w:t>
      </w:r>
    </w:p>
    <w:p>
      <w:pPr>
        <w:keepNext w:val="0"/>
        <w:keepLines w:val="0"/>
        <w:pageBreakBefore w:val="0"/>
        <w:shd w:val="clear" w:color="auto" w:fill="auto"/>
        <w:kinsoku/>
        <w:wordWrap/>
        <w:overflowPunct/>
        <w:topLinePunct w:val="0"/>
        <w:bidi w:val="0"/>
        <w:snapToGrid/>
        <w:spacing w:line="62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五是在建强队伍、提升素质上持续用心用力。</w:t>
      </w:r>
      <w:r>
        <w:rPr>
          <w:rFonts w:hint="eastAsia" w:ascii="Times New Roman" w:hAnsi="Times New Roman" w:eastAsia="仿宋_GB2312" w:cs="Times New Roman"/>
          <w:b w:val="0"/>
          <w:bCs w:val="0"/>
          <w:color w:val="000000"/>
          <w:kern w:val="2"/>
          <w:sz w:val="32"/>
          <w:szCs w:val="32"/>
          <w:lang w:val="en-US" w:eastAsia="zh-CN" w:bidi="ar-SA"/>
        </w:rPr>
        <w:t xml:space="preserve">深化政治纪律和政治规矩教育，确保检察队伍绝对忠诚、绝对纯洁、绝对可靠。深化业务素能建设，扎实开展素能培训，练好内功，补齐短板，使全体干警的业务素质和专业技能有明显提升。持之以恒正风肃纪，常态化开展以案促改、警示教育，毫不动摇把严的基调、严的措施、严的氛围长期坚持下去，着力锻造一支忠诚、干净、担当的检察铁军。  </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各位代表，路虽远，行则将至；事虽难，做则必成。我们将在区委和市检察院坚强领导，区人大有力监督，区政府、政协和社会各界关心支持下，认真落实本次大会决议，以忠诚履职的检察担当，奋发有为的精神状态，推进涧西检察工作现代化，为打造“千亿强区新涧西”贡献检察智慧和力量。</w:t>
      </w:r>
    </w:p>
    <w:p>
      <w:pPr>
        <w:keepNext w:val="0"/>
        <w:keepLines w:val="0"/>
        <w:pageBreakBefore w:val="0"/>
        <w:kinsoku/>
        <w:wordWrap/>
        <w:overflowPunct/>
        <w:topLinePunct w:val="0"/>
        <w:bidi w:val="0"/>
        <w:snapToGrid/>
        <w:spacing w:line="620" w:lineRule="exact"/>
        <w:ind w:firstLine="2200" w:firstLineChars="500"/>
        <w:jc w:val="both"/>
        <w:textAlignment w:val="auto"/>
        <w:rPr>
          <w:rFonts w:hint="eastAsia" w:ascii="黑体" w:hAnsi="黑体" w:eastAsia="黑体" w:cs="Times New Roman"/>
          <w:spacing w:val="0"/>
          <w:sz w:val="44"/>
          <w:szCs w:val="44"/>
          <w:lang w:eastAsia="zh-CN"/>
        </w:rPr>
      </w:pPr>
    </w:p>
    <w:p>
      <w:pPr>
        <w:keepNext w:val="0"/>
        <w:keepLines w:val="0"/>
        <w:pageBreakBefore w:val="0"/>
        <w:kinsoku/>
        <w:wordWrap/>
        <w:overflowPunct/>
        <w:topLinePunct w:val="0"/>
        <w:bidi w:val="0"/>
        <w:snapToGrid/>
        <w:spacing w:line="620" w:lineRule="exact"/>
        <w:ind w:firstLine="2200" w:firstLineChars="500"/>
        <w:jc w:val="both"/>
        <w:textAlignment w:val="auto"/>
        <w:rPr>
          <w:rFonts w:ascii="黑体" w:hAnsi="黑体" w:eastAsia="黑体" w:cs="Times New Roman"/>
          <w:spacing w:val="0"/>
          <w:sz w:val="44"/>
          <w:szCs w:val="44"/>
        </w:rPr>
      </w:pPr>
    </w:p>
    <w:p>
      <w:pPr>
        <w:keepNext w:val="0"/>
        <w:keepLines w:val="0"/>
        <w:pageBreakBefore w:val="0"/>
        <w:kinsoku/>
        <w:wordWrap/>
        <w:overflowPunct/>
        <w:topLinePunct w:val="0"/>
        <w:bidi w:val="0"/>
        <w:snapToGrid/>
        <w:spacing w:line="620" w:lineRule="exact"/>
        <w:ind w:firstLine="2200" w:firstLineChars="500"/>
        <w:jc w:val="both"/>
        <w:textAlignment w:val="auto"/>
        <w:rPr>
          <w:rFonts w:ascii="黑体" w:hAnsi="黑体" w:eastAsia="黑体" w:cs="Times New Roman"/>
          <w:spacing w:val="0"/>
          <w:sz w:val="44"/>
          <w:szCs w:val="44"/>
        </w:rPr>
      </w:pPr>
    </w:p>
    <w:p>
      <w:pPr>
        <w:keepNext w:val="0"/>
        <w:keepLines w:val="0"/>
        <w:pageBreakBefore w:val="0"/>
        <w:kinsoku/>
        <w:wordWrap/>
        <w:overflowPunct/>
        <w:topLinePunct w:val="0"/>
        <w:bidi w:val="0"/>
        <w:snapToGrid/>
        <w:spacing w:line="620" w:lineRule="exact"/>
        <w:ind w:firstLine="2200" w:firstLineChars="500"/>
        <w:jc w:val="both"/>
        <w:textAlignment w:val="auto"/>
        <w:rPr>
          <w:rFonts w:ascii="黑体" w:hAnsi="黑体" w:eastAsia="黑体" w:cs="Times New Roman"/>
          <w:spacing w:val="0"/>
          <w:sz w:val="44"/>
          <w:szCs w:val="44"/>
        </w:rPr>
      </w:pPr>
    </w:p>
    <w:p>
      <w:pPr>
        <w:keepNext w:val="0"/>
        <w:keepLines w:val="0"/>
        <w:pageBreakBefore w:val="0"/>
        <w:kinsoku/>
        <w:wordWrap/>
        <w:overflowPunct/>
        <w:topLinePunct w:val="0"/>
        <w:bidi w:val="0"/>
        <w:snapToGrid/>
        <w:spacing w:line="620" w:lineRule="exact"/>
        <w:jc w:val="both"/>
        <w:textAlignment w:val="auto"/>
        <w:rPr>
          <w:rFonts w:ascii="黑体" w:hAnsi="黑体" w:eastAsia="黑体" w:cs="Times New Roman"/>
          <w:spacing w:val="0"/>
          <w:sz w:val="44"/>
          <w:szCs w:val="44"/>
        </w:rPr>
      </w:pPr>
    </w:p>
    <w:p>
      <w:pPr>
        <w:keepNext w:val="0"/>
        <w:keepLines w:val="0"/>
        <w:pageBreakBefore w:val="0"/>
        <w:kinsoku/>
        <w:wordWrap/>
        <w:overflowPunct/>
        <w:topLinePunct w:val="0"/>
        <w:bidi w:val="0"/>
        <w:snapToGrid/>
        <w:spacing w:line="620" w:lineRule="exact"/>
        <w:ind w:firstLine="2640" w:firstLineChars="600"/>
        <w:jc w:val="both"/>
        <w:textAlignment w:val="auto"/>
        <w:rPr>
          <w:rFonts w:ascii="黑体" w:hAnsi="黑体" w:eastAsia="黑体" w:cs="Times New Roman"/>
          <w:spacing w:val="0"/>
          <w:sz w:val="44"/>
          <w:szCs w:val="44"/>
        </w:rPr>
      </w:pPr>
      <w:r>
        <w:rPr>
          <w:rFonts w:ascii="黑体" w:hAnsi="黑体" w:eastAsia="黑体" w:cs="Times New Roman"/>
          <w:spacing w:val="0"/>
          <w:sz w:val="44"/>
          <w:szCs w:val="44"/>
        </w:rPr>
        <w:t>有关用语说明</w:t>
      </w:r>
    </w:p>
    <w:p>
      <w:pPr>
        <w:pStyle w:val="8"/>
      </w:pP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1、检察能动履职：司法案件大多发生在群众身边，用心用情办好，才能守住民心。检察履职过程中，必须始终带着对人民群众的深厚感情，坚持政治效果、社会效果、法律效果相统一，综合考虑法、理、情，用心办好人民群众身边每一个“小案”，让人民群众切实感受到公平正义就在身边。</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2、支持起诉：人民检察院对损害国家利益和社会公共利益及弱势群体利益的行为支持受损害单位或个人向人民法院起诉的活动。</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3、司法救助：人民检察院在办理案件过程中，对遭受犯罪侵害或者民事侵权，无法通过诉讼获得有效赔偿，生活面临急迫困难的当事人采取的辅助性救济措施。</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4、涉案企业合规改革：检察机关对于办理的涉企刑事案件，在依法作出不批准逮捕、不起诉决定或者根据认罪认罚从宽制度提出轻缓量刑建议等的同时，针对企业涉嫌具体犯罪，结合办案实际，督促涉案企业作出合规承诺并积极整改落实，促进企业合规守法经营，减少和预防企业犯罪，实现司法办案政治效果、法律效果、社会效果统一。</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5、涉案企业合规改革第三方监管机制：人民检察院在办理涉企犯罪案件时，对符合企业合规改革试点适用条件的，交由第三方监督评估机制管理委员会选任组成的第三方监督评估组织，对涉案企业的合规承诺进行调查、评估、监督和考察，考察结果作为人民检察院依法处理案件的重要参考。</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6、质量建设年：最高检党组把2022年确定为检察工作“质量建设年”，带头促进全系统聚焦“高质量发展”这个关键，以强作风、重落实、提效能为导向，推动检察政治建设、履职能力水平整体提升，进一步做到做实战略前瞻、理念先进、办案精细、素能过硬、基础坚实、管理科学。</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7、三个规定：具体内容是指《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8、少捕慎诉慎押：是指对绝大多数的轻罪案件体现当宽则宽，慎重羁押、追诉，加强对逮捕社会危险性的审查，依法能不捕的不捕，尽可能适用非羁押强制措施，尽可能减少犯罪嫌疑人在羁押状态下候审。</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9、认罪认罚从宽：指</w:t>
      </w:r>
      <w:r>
        <w:rPr>
          <w:rFonts w:hint="eastAsia" w:ascii="Times New Roman" w:hAnsi="Times New Roman" w:eastAsia="仿宋_GB2312" w:cs="Times New Roman"/>
          <w:b w:val="0"/>
          <w:bCs w:val="0"/>
          <w:color w:val="000000"/>
          <w:kern w:val="2"/>
          <w:sz w:val="32"/>
          <w:szCs w:val="32"/>
          <w:lang w:val="en-US" w:eastAsia="zh-CN" w:bidi="ar-SA"/>
        </w:rPr>
        <w:fldChar w:fldCharType="begin"/>
      </w:r>
      <w:r>
        <w:rPr>
          <w:rFonts w:hint="eastAsia" w:ascii="Times New Roman" w:hAnsi="Times New Roman" w:eastAsia="仿宋_GB2312" w:cs="Times New Roman"/>
          <w:b w:val="0"/>
          <w:bCs w:val="0"/>
          <w:color w:val="000000"/>
          <w:kern w:val="2"/>
          <w:sz w:val="32"/>
          <w:szCs w:val="32"/>
          <w:lang w:val="en-US" w:eastAsia="zh-CN" w:bidi="ar-SA"/>
        </w:rPr>
        <w:instrText xml:space="preserve"> HYPERLINK "https://baike.baidu.com/item/%E7%8A%AF%E7%BD%AA%E5%AB%8C%E7%96%91%E4%BA%BA/64402" \t "https://baike.baidu.com/item/%E8%AE%A4%E7%BD%AA%E8%AE%A4%E7%BD%9A%E4%BB%8E%E5%AE%BD/_blank" </w:instrText>
      </w:r>
      <w:r>
        <w:rPr>
          <w:rFonts w:hint="eastAsia" w:ascii="Times New Roman" w:hAnsi="Times New Roman" w:eastAsia="仿宋_GB2312" w:cs="Times New Roman"/>
          <w:b w:val="0"/>
          <w:bCs w:val="0"/>
          <w:color w:val="000000"/>
          <w:kern w:val="2"/>
          <w:sz w:val="32"/>
          <w:szCs w:val="32"/>
          <w:lang w:val="en-US" w:eastAsia="zh-CN" w:bidi="ar-SA"/>
        </w:rPr>
        <w:fldChar w:fldCharType="separate"/>
      </w:r>
      <w:r>
        <w:rPr>
          <w:rFonts w:hint="eastAsia" w:ascii="Times New Roman" w:hAnsi="Times New Roman" w:eastAsia="仿宋_GB2312" w:cs="Times New Roman"/>
          <w:b w:val="0"/>
          <w:bCs w:val="0"/>
          <w:color w:val="000000"/>
          <w:kern w:val="2"/>
          <w:sz w:val="32"/>
          <w:szCs w:val="32"/>
          <w:lang w:val="en-US" w:eastAsia="zh-CN" w:bidi="ar-SA"/>
        </w:rPr>
        <w:t>犯罪嫌疑人</w:t>
      </w:r>
      <w:r>
        <w:rPr>
          <w:rFonts w:hint="eastAsia" w:ascii="Times New Roman" w:hAnsi="Times New Roman" w:eastAsia="仿宋_GB2312" w:cs="Times New Roman"/>
          <w:b w:val="0"/>
          <w:bCs w:val="0"/>
          <w:color w:val="000000"/>
          <w:kern w:val="2"/>
          <w:sz w:val="32"/>
          <w:szCs w:val="32"/>
          <w:lang w:val="en-US" w:eastAsia="zh-CN" w:bidi="ar-SA"/>
        </w:rPr>
        <w:fldChar w:fldCharType="end"/>
      </w:r>
      <w:r>
        <w:rPr>
          <w:rFonts w:hint="eastAsia"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fldChar w:fldCharType="begin"/>
      </w:r>
      <w:r>
        <w:rPr>
          <w:rFonts w:hint="eastAsia" w:ascii="Times New Roman" w:hAnsi="Times New Roman" w:eastAsia="仿宋_GB2312" w:cs="Times New Roman"/>
          <w:b w:val="0"/>
          <w:bCs w:val="0"/>
          <w:color w:val="000000"/>
          <w:kern w:val="2"/>
          <w:sz w:val="32"/>
          <w:szCs w:val="32"/>
          <w:lang w:val="en-US" w:eastAsia="zh-CN" w:bidi="ar-SA"/>
        </w:rPr>
        <w:instrText xml:space="preserve"> HYPERLINK "https://baike.baidu.com/item/%E8%A2%AB%E5%91%8A%E4%BA%BA/411661" \t "https://baike.baidu.com/item/%E8%AE%A4%E7%BD%AA%E8%AE%A4%E7%BD%9A%E4%BB%8E%E5%AE%BD/_blank" </w:instrText>
      </w:r>
      <w:r>
        <w:rPr>
          <w:rFonts w:hint="eastAsia" w:ascii="Times New Roman" w:hAnsi="Times New Roman" w:eastAsia="仿宋_GB2312" w:cs="Times New Roman"/>
          <w:b w:val="0"/>
          <w:bCs w:val="0"/>
          <w:color w:val="000000"/>
          <w:kern w:val="2"/>
          <w:sz w:val="32"/>
          <w:szCs w:val="32"/>
          <w:lang w:val="en-US" w:eastAsia="zh-CN" w:bidi="ar-SA"/>
        </w:rPr>
        <w:fldChar w:fldCharType="separate"/>
      </w:r>
      <w:r>
        <w:rPr>
          <w:rFonts w:hint="eastAsia" w:ascii="Times New Roman" w:hAnsi="Times New Roman" w:eastAsia="仿宋_GB2312" w:cs="Times New Roman"/>
          <w:b w:val="0"/>
          <w:bCs w:val="0"/>
          <w:color w:val="000000"/>
          <w:kern w:val="2"/>
          <w:sz w:val="32"/>
          <w:szCs w:val="32"/>
          <w:lang w:val="en-US" w:eastAsia="zh-CN" w:bidi="ar-SA"/>
        </w:rPr>
        <w:t>被告人</w:t>
      </w:r>
      <w:r>
        <w:rPr>
          <w:rFonts w:hint="eastAsia" w:ascii="Times New Roman" w:hAnsi="Times New Roman" w:eastAsia="仿宋_GB2312" w:cs="Times New Roman"/>
          <w:b w:val="0"/>
          <w:bCs w:val="0"/>
          <w:color w:val="000000"/>
          <w:kern w:val="2"/>
          <w:sz w:val="32"/>
          <w:szCs w:val="32"/>
          <w:lang w:val="en-US" w:eastAsia="zh-CN" w:bidi="ar-SA"/>
        </w:rPr>
        <w:fldChar w:fldCharType="end"/>
      </w:r>
      <w:r>
        <w:rPr>
          <w:rFonts w:hint="eastAsia" w:ascii="Times New Roman" w:hAnsi="Times New Roman" w:eastAsia="仿宋_GB2312" w:cs="Times New Roman"/>
          <w:b w:val="0"/>
          <w:bCs w:val="0"/>
          <w:color w:val="000000"/>
          <w:kern w:val="2"/>
          <w:sz w:val="32"/>
          <w:szCs w:val="32"/>
          <w:lang w:val="en-US" w:eastAsia="zh-CN" w:bidi="ar-SA"/>
        </w:rPr>
        <w:t>自愿如实供述自己的</w:t>
      </w:r>
      <w:r>
        <w:rPr>
          <w:rFonts w:hint="eastAsia" w:ascii="Times New Roman" w:hAnsi="Times New Roman" w:eastAsia="仿宋_GB2312" w:cs="Times New Roman"/>
          <w:b w:val="0"/>
          <w:bCs w:val="0"/>
          <w:color w:val="000000"/>
          <w:kern w:val="2"/>
          <w:sz w:val="32"/>
          <w:szCs w:val="32"/>
          <w:lang w:val="en-US" w:eastAsia="zh-CN" w:bidi="ar-SA"/>
        </w:rPr>
        <w:fldChar w:fldCharType="begin"/>
      </w:r>
      <w:r>
        <w:rPr>
          <w:rFonts w:hint="eastAsia" w:ascii="Times New Roman" w:hAnsi="Times New Roman" w:eastAsia="仿宋_GB2312" w:cs="Times New Roman"/>
          <w:b w:val="0"/>
          <w:bCs w:val="0"/>
          <w:color w:val="000000"/>
          <w:kern w:val="2"/>
          <w:sz w:val="32"/>
          <w:szCs w:val="32"/>
          <w:lang w:val="en-US" w:eastAsia="zh-CN" w:bidi="ar-SA"/>
        </w:rPr>
        <w:instrText xml:space="preserve"> HYPERLINK "https://baike.baidu.com/item/%E7%8A%AF%E7%BD%AA/294163" \t "https://baike.baidu.com/item/%E8%AE%A4%E7%BD%AA%E8%AE%A4%E7%BD%9A%E4%BB%8E%E5%AE%BD/_blank" </w:instrText>
      </w:r>
      <w:r>
        <w:rPr>
          <w:rFonts w:hint="eastAsia" w:ascii="Times New Roman" w:hAnsi="Times New Roman" w:eastAsia="仿宋_GB2312" w:cs="Times New Roman"/>
          <w:b w:val="0"/>
          <w:bCs w:val="0"/>
          <w:color w:val="000000"/>
          <w:kern w:val="2"/>
          <w:sz w:val="32"/>
          <w:szCs w:val="32"/>
          <w:lang w:val="en-US" w:eastAsia="zh-CN" w:bidi="ar-SA"/>
        </w:rPr>
        <w:fldChar w:fldCharType="separate"/>
      </w:r>
      <w:r>
        <w:rPr>
          <w:rFonts w:hint="eastAsia" w:ascii="Times New Roman" w:hAnsi="Times New Roman" w:eastAsia="仿宋_GB2312" w:cs="Times New Roman"/>
          <w:b w:val="0"/>
          <w:bCs w:val="0"/>
          <w:color w:val="000000"/>
          <w:kern w:val="2"/>
          <w:sz w:val="32"/>
          <w:szCs w:val="32"/>
          <w:lang w:val="en-US" w:eastAsia="zh-CN" w:bidi="ar-SA"/>
        </w:rPr>
        <w:t>犯罪</w:t>
      </w:r>
      <w:r>
        <w:rPr>
          <w:rFonts w:hint="eastAsia" w:ascii="Times New Roman" w:hAnsi="Times New Roman" w:eastAsia="仿宋_GB2312" w:cs="Times New Roman"/>
          <w:b w:val="0"/>
          <w:bCs w:val="0"/>
          <w:color w:val="000000"/>
          <w:kern w:val="2"/>
          <w:sz w:val="32"/>
          <w:szCs w:val="32"/>
          <w:lang w:val="en-US" w:eastAsia="zh-CN" w:bidi="ar-SA"/>
        </w:rPr>
        <w:fldChar w:fldCharType="end"/>
      </w:r>
      <w:r>
        <w:rPr>
          <w:rFonts w:hint="eastAsia" w:ascii="Times New Roman" w:hAnsi="Times New Roman" w:eastAsia="仿宋_GB2312" w:cs="Times New Roman"/>
          <w:b w:val="0"/>
          <w:bCs w:val="0"/>
          <w:color w:val="000000"/>
          <w:kern w:val="2"/>
          <w:sz w:val="32"/>
          <w:szCs w:val="32"/>
          <w:lang w:val="en-US" w:eastAsia="zh-CN" w:bidi="ar-SA"/>
        </w:rPr>
        <w:t>，对于指控犯罪事实没有异议，同意检察机关的量刑意见并签署具结书的案件，可以依法从宽处理。</w:t>
      </w:r>
    </w:p>
    <w:p>
      <w:pPr>
        <w:keepNext w:val="0"/>
        <w:keepLines w:val="0"/>
        <w:pageBreakBefore w:val="0"/>
        <w:shd w:val="clear" w:color="auto" w:fill="auto"/>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p>
      <w:pPr>
        <w:keepNext w:val="0"/>
        <w:keepLines w:val="0"/>
        <w:pageBreakBefore w:val="0"/>
        <w:shd w:val="clear" w:color="auto" w:fill="auto"/>
        <w:kinsoku/>
        <w:wordWrap/>
        <w:overflowPunct/>
        <w:topLinePunct w:val="0"/>
        <w:bidi w:val="0"/>
        <w:snapToGrid/>
        <w:spacing w:line="620" w:lineRule="exact"/>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p>
    <w:p>
      <w:pPr>
        <w:keepNext w:val="0"/>
        <w:keepLines w:val="0"/>
        <w:pageBreakBefore w:val="0"/>
        <w:shd w:val="clear" w:color="auto" w:fill="auto"/>
        <w:kinsoku/>
        <w:wordWrap/>
        <w:overflowPunct/>
        <w:topLinePunct w:val="0"/>
        <w:bidi w:val="0"/>
        <w:snapToGrid/>
        <w:spacing w:line="620" w:lineRule="exact"/>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p>
    <w:p>
      <w:pPr>
        <w:keepNext w:val="0"/>
        <w:keepLines w:val="0"/>
        <w:pageBreakBefore w:val="0"/>
        <w:shd w:val="clear" w:color="auto" w:fill="auto"/>
        <w:kinsoku/>
        <w:wordWrap/>
        <w:overflowPunct/>
        <w:topLinePunct w:val="0"/>
        <w:bidi w:val="0"/>
        <w:snapToGrid/>
        <w:spacing w:line="620" w:lineRule="exact"/>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p>
    <w:p>
      <w:pPr>
        <w:keepNext w:val="0"/>
        <w:keepLines w:val="0"/>
        <w:pageBreakBefore w:val="0"/>
        <w:shd w:val="clear" w:color="auto" w:fill="auto"/>
        <w:kinsoku/>
        <w:wordWrap/>
        <w:overflowPunct/>
        <w:topLinePunct w:val="0"/>
        <w:bidi w:val="0"/>
        <w:snapToGrid/>
        <w:spacing w:line="620" w:lineRule="exact"/>
        <w:ind w:firstLine="320" w:firstLineChars="100"/>
        <w:textAlignment w:val="auto"/>
        <w:rPr>
          <w:rFonts w:ascii="仿宋" w:hAnsi="仿宋" w:eastAsia="仿宋"/>
          <w:sz w:val="32"/>
          <w:szCs w:val="32"/>
        </w:rPr>
      </w:pPr>
      <w:r>
        <w:rPr>
          <w:rFonts w:hint="eastAsia" w:ascii="Times New Roman" w:hAnsi="Times New Roman" w:eastAsia="仿宋_GB2312" w:cs="Times New Roman"/>
          <w:b w:val="0"/>
          <w:bCs w:val="0"/>
          <w:color w:val="000000"/>
          <w:kern w:val="2"/>
          <w:sz w:val="32"/>
          <w:szCs w:val="32"/>
          <w:lang w:val="en-US" w:eastAsia="zh-CN" w:bidi="ar-SA"/>
        </w:rPr>
        <w:t>请扫描二维码，关注“涧西检察”微信公众号，感谢支持！</w:t>
      </w:r>
    </w:p>
    <w:p>
      <w:pPr>
        <w:pStyle w:val="2"/>
        <w:jc w:val="center"/>
        <w:rPr>
          <w:rFonts w:hint="eastAsia" w:ascii="仿宋" w:hAnsi="仿宋" w:eastAsia="仿宋"/>
          <w:sz w:val="32"/>
          <w:szCs w:val="32"/>
          <w:lang w:eastAsia="zh-CN"/>
        </w:rPr>
      </w:pPr>
      <w:bookmarkStart w:id="0" w:name="_GoBack"/>
      <w:bookmarkEnd w:id="0"/>
      <w:r>
        <w:rPr>
          <w:rFonts w:hint="eastAsia" w:ascii="仿宋" w:hAnsi="仿宋" w:eastAsia="仿宋"/>
          <w:sz w:val="32"/>
          <w:szCs w:val="32"/>
          <w:lang w:eastAsia="zh-CN"/>
        </w:rPr>
        <w:drawing>
          <wp:inline distT="0" distB="0" distL="114300" distR="114300">
            <wp:extent cx="2733040" cy="2733040"/>
            <wp:effectExtent l="0" t="0" r="10160" b="10160"/>
            <wp:docPr id="2" name="图片 1" descr="ae02f5607fbca3c319d48330df0a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e02f5607fbca3c319d48330df0a258"/>
                    <pic:cNvPicPr>
                      <a:picLocks noChangeAspect="1"/>
                    </pic:cNvPicPr>
                  </pic:nvPicPr>
                  <pic:blipFill>
                    <a:blip r:embed="rId6"/>
                    <a:stretch>
                      <a:fillRect/>
                    </a:stretch>
                  </pic:blipFill>
                  <pic:spPr>
                    <a:xfrm>
                      <a:off x="0" y="0"/>
                      <a:ext cx="2733040" cy="2733040"/>
                    </a:xfrm>
                    <a:prstGeom prst="rect">
                      <a:avLst/>
                    </a:prstGeom>
                    <a:noFill/>
                    <a:ln>
                      <a:noFill/>
                    </a:ln>
                  </pic:spPr>
                </pic:pic>
              </a:graphicData>
            </a:graphic>
          </wp:inline>
        </w:drawing>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1D2DB"/>
    <w:multiLevelType w:val="singleLevel"/>
    <w:tmpl w:val="8D01D2D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TM4MGY2M2I4YWM5YjFhYTYyMjYwMDc0M2Y2N2UifQ=="/>
  </w:docVars>
  <w:rsids>
    <w:rsidRoot w:val="00000000"/>
    <w:rsid w:val="043E6C50"/>
    <w:rsid w:val="1D085BCA"/>
    <w:rsid w:val="263748A7"/>
    <w:rsid w:val="45D149CD"/>
    <w:rsid w:val="4A9062A3"/>
    <w:rsid w:val="68AA5747"/>
    <w:rsid w:val="6EE542D6"/>
    <w:rsid w:val="720A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after="120" w:afterLines="0"/>
      <w:ind w:left="420" w:leftChars="200"/>
    </w:pPr>
    <w:rPr>
      <w:kern w:val="2"/>
      <w:sz w:val="21"/>
      <w:szCs w:val="24"/>
    </w:rPr>
  </w:style>
  <w:style w:type="paragraph" w:styleId="4">
    <w:name w:val="Body Text Indent 2"/>
    <w:basedOn w:val="1"/>
    <w:link w:val="12"/>
    <w:qFormat/>
    <w:uiPriority w:val="0"/>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620" w:lineRule="exact"/>
    </w:pPr>
    <w:rPr>
      <w:rFonts w:ascii="Times New Roman" w:hAnsi="Times New Roman" w:eastAsia="仿宋_GB2312" w:cs="Times New Roman"/>
      <w:sz w:val="24"/>
      <w:szCs w:val="24"/>
    </w:rPr>
  </w:style>
  <w:style w:type="paragraph" w:styleId="8">
    <w:name w:val="Body Text First Indent 2"/>
    <w:basedOn w:val="3"/>
    <w:next w:val="1"/>
    <w:qFormat/>
    <w:uiPriority w:val="0"/>
    <w:pPr>
      <w:ind w:left="0" w:leftChars="0" w:firstLine="880" w:firstLineChars="200"/>
    </w:pPr>
    <w:rPr>
      <w:rFonts w:ascii="Times New Roman" w:hAnsi="Times New Roman"/>
    </w:rPr>
  </w:style>
  <w:style w:type="character" w:customStyle="1" w:styleId="11">
    <w:name w:val="NormalCharacter"/>
    <w:semiHidden/>
    <w:qFormat/>
    <w:uiPriority w:val="0"/>
  </w:style>
  <w:style w:type="character" w:customStyle="1" w:styleId="12">
    <w:name w:val="正文文本缩进 2 Char"/>
    <w:basedOn w:val="10"/>
    <w:link w:val="4"/>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7107</Words>
  <Characters>7242</Characters>
  <Lines>0</Lines>
  <Paragraphs>0</Paragraphs>
  <TotalTime>94</TotalTime>
  <ScaleCrop>false</ScaleCrop>
  <LinksUpToDate>false</LinksUpToDate>
  <CharactersWithSpaces>7248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2023-02-15T09:10:00Z</dcterms:created>
  <dc:creator>Administrator</dc:creator>
  <cp:lastModifiedBy>王菠萝</cp:lastModifiedBy>
  <cp:lastPrinted>2023-02-19T23:29:30Z</cp:lastPrinted>
  <dcterms:modified xsi:type="dcterms:W3CDTF">2023-02-19T23:30:22Z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22648ADD73D0449D9F4B2F5837995E3A</vt:lpwstr>
  </property>
</Properties>
</file>